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14:shadow w14:blurRad="50800" w14:dist="38100" w14:dir="2700000" w14:sx="100000" w14:sy="100000" w14:kx="0" w14:ky="0" w14:algn="tl">
            <w14:srgbClr w14:val="000000">
              <w14:alpha w14:val="60000"/>
            </w14:srgbClr>
          </w14:shadow>
        </w:rPr>
        <w:t>虚拟演播室与实景影棚拍摄实训实验室</w:t>
      </w:r>
    </w:p>
    <w:p>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14:shadow w14:blurRad="50800" w14:dist="38100" w14:dir="2700000" w14:sx="100000" w14:sy="100000" w14:kx="0" w14:ky="0" w14:algn="tl">
            <w14:srgbClr w14:val="000000">
              <w14:alpha w14:val="60000"/>
            </w14:srgbClr>
          </w14:shadow>
        </w:rPr>
        <w:t>设备采购与安装项目</w:t>
      </w:r>
    </w:p>
    <w:p>
      <w:pPr>
        <w:spacing w:line="360" w:lineRule="auto"/>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w:t>
      </w:r>
      <w:r>
        <w:rPr>
          <w:rFonts w:ascii="宋体" w:hAnsi="宋体"/>
          <w:b/>
          <w:sz w:val="32"/>
          <w:szCs w:val="52"/>
          <w14:shadow w14:blurRad="50800" w14:dist="38100" w14:dir="2700000" w14:sx="100000" w14:sy="100000" w14:kx="0" w14:ky="0" w14:algn="tl">
            <w14:srgbClr w14:val="000000">
              <w14:alpha w14:val="60000"/>
            </w14:srgbClr>
          </w14:shadow>
        </w:rPr>
        <w:t>202</w:t>
      </w:r>
      <w:r>
        <w:rPr>
          <w:rFonts w:hint="eastAsia" w:ascii="宋体" w:hAnsi="宋体"/>
          <w:b/>
          <w:sz w:val="32"/>
          <w:szCs w:val="52"/>
          <w14:shadow w14:blurRad="50800" w14:dist="38100" w14:dir="2700000" w14:sx="100000" w14:sy="100000" w14:kx="0" w14:ky="0" w14:algn="tl">
            <w14:srgbClr w14:val="000000">
              <w14:alpha w14:val="60000"/>
            </w14:srgbClr>
          </w14:shadow>
        </w:rPr>
        <w:t>3H05</w:t>
      </w:r>
      <w:r>
        <w:rPr>
          <w:rFonts w:hint="eastAsia" w:ascii="宋体" w:hAnsi="宋体"/>
          <w:b/>
          <w:sz w:val="32"/>
          <w:szCs w:val="52"/>
          <w:lang w:val="en-US" w:eastAsia="zh-CN"/>
          <w14:shadow w14:blurRad="50800" w14:dist="38100" w14:dir="2700000" w14:sx="100000" w14:sy="100000" w14:kx="0" w14:ky="0" w14:algn="tl">
            <w14:srgbClr w14:val="000000">
              <w14:alpha w14:val="60000"/>
            </w14:srgbClr>
          </w14:shadow>
        </w:rPr>
        <w:t>15</w:t>
      </w:r>
      <w:r>
        <w:rPr>
          <w:rFonts w:hint="eastAsia" w:ascii="宋体" w:hAnsi="宋体"/>
          <w:b/>
          <w:sz w:val="32"/>
          <w:szCs w:val="52"/>
          <w14:shadow w14:blurRad="50800" w14:dist="38100" w14:dir="2700000" w14:sx="100000" w14:sy="100000" w14:kx="0" w14:ky="0" w14:algn="tl">
            <w14:srgbClr w14:val="000000">
              <w14:alpha w14:val="60000"/>
            </w14:srgbClr>
          </w14:shadow>
        </w:rPr>
        <w:t>）</w:t>
      </w: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14:shadow w14:blurRad="50800" w14:dist="38100" w14:dir="2700000" w14:sx="100000" w14:sy="100000" w14:kx="0" w14:ky="0" w14:algn="tl">
            <w14:srgbClr w14:val="000000">
              <w14:alpha w14:val="60000"/>
            </w14:srgbClr>
          </w14:shadow>
        </w:rPr>
        <w:t>3年8月</w:t>
      </w:r>
      <w:r>
        <w:rPr>
          <w:rFonts w:hint="eastAsia" w:ascii="宋体" w:hAnsi="宋体"/>
          <w:sz w:val="32"/>
          <w:lang w:val="en-US" w:eastAsia="zh-CN"/>
          <w14:shadow w14:blurRad="50800" w14:dist="38100" w14:dir="2700000" w14:sx="100000" w14:sy="100000" w14:kx="0" w14:ky="0" w14:algn="tl">
            <w14:srgbClr w14:val="000000">
              <w14:alpha w14:val="60000"/>
            </w14:srgbClr>
          </w14:shadow>
        </w:rPr>
        <w:t>17</w:t>
      </w:r>
      <w:r>
        <w:rPr>
          <w:rFonts w:hint="eastAsia" w:ascii="宋体" w:hAnsi="宋体"/>
          <w:sz w:val="32"/>
          <w14:shadow w14:blurRad="50800" w14:dist="38100" w14:dir="2700000" w14:sx="100000" w14:sy="100000" w14:kx="0" w14:ky="0" w14:algn="tl">
            <w14:srgbClr w14:val="000000">
              <w14:alpha w14:val="60000"/>
            </w14:srgbClr>
          </w14:shadow>
        </w:rPr>
        <w:t>日</w:t>
      </w:r>
    </w:p>
    <w:p>
      <w:pPr>
        <w:pStyle w:val="14"/>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pPr>
        <w:pStyle w:val="14"/>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pPr>
        <w:pStyle w:val="15"/>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pPr>
        <w:pStyle w:val="15"/>
        <w:numPr>
          <w:ilvl w:val="0"/>
          <w:numId w:val="0"/>
        </w:numPr>
        <w:ind w:firstLine="472" w:firstLineChars="196"/>
        <w:rPr>
          <w:b/>
          <w:sz w:val="24"/>
          <w:szCs w:val="24"/>
        </w:rPr>
      </w:pPr>
      <w:r>
        <w:rPr>
          <w:rFonts w:hint="eastAsia"/>
          <w:b/>
          <w:sz w:val="24"/>
          <w:szCs w:val="24"/>
        </w:rPr>
        <w:t>2.磋商文件的澄清</w:t>
      </w:r>
    </w:p>
    <w:p>
      <w:pPr>
        <w:pStyle w:val="15"/>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pPr>
        <w:pStyle w:val="15"/>
        <w:numPr>
          <w:ilvl w:val="0"/>
          <w:numId w:val="0"/>
        </w:numPr>
        <w:ind w:firstLine="472" w:firstLineChars="196"/>
        <w:rPr>
          <w:b/>
          <w:sz w:val="24"/>
          <w:szCs w:val="24"/>
        </w:rPr>
      </w:pPr>
      <w:r>
        <w:rPr>
          <w:rFonts w:hint="eastAsia"/>
          <w:b/>
          <w:sz w:val="24"/>
          <w:szCs w:val="24"/>
        </w:rPr>
        <w:t>3.磋商文件的修改</w:t>
      </w:r>
    </w:p>
    <w:p>
      <w:pPr>
        <w:pStyle w:val="15"/>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pPr>
        <w:pStyle w:val="15"/>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pPr>
        <w:pStyle w:val="15"/>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pPr>
        <w:pStyle w:val="15"/>
        <w:numPr>
          <w:ilvl w:val="0"/>
          <w:numId w:val="0"/>
        </w:numPr>
        <w:ind w:firstLine="472" w:firstLineChars="196"/>
        <w:rPr>
          <w:b/>
          <w:sz w:val="24"/>
          <w:szCs w:val="24"/>
        </w:rPr>
      </w:pPr>
      <w:r>
        <w:rPr>
          <w:rFonts w:hint="eastAsia"/>
          <w:b/>
          <w:sz w:val="24"/>
          <w:szCs w:val="24"/>
        </w:rPr>
        <w:t>4. 通知</w:t>
      </w:r>
    </w:p>
    <w:p>
      <w:pPr>
        <w:pStyle w:val="15"/>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pPr>
        <w:pStyle w:val="15"/>
        <w:numPr>
          <w:ilvl w:val="0"/>
          <w:numId w:val="0"/>
        </w:numPr>
        <w:ind w:firstLine="482" w:firstLineChars="200"/>
        <w:rPr>
          <w:b/>
          <w:sz w:val="24"/>
          <w:szCs w:val="24"/>
        </w:rPr>
      </w:pPr>
      <w:r>
        <w:rPr>
          <w:b/>
          <w:sz w:val="24"/>
          <w:szCs w:val="24"/>
        </w:rPr>
        <w:t>5.</w:t>
      </w:r>
      <w:r>
        <w:rPr>
          <w:rFonts w:hint="eastAsia"/>
          <w:b/>
          <w:sz w:val="24"/>
          <w:szCs w:val="24"/>
        </w:rPr>
        <w:t>投标人资格条件</w:t>
      </w:r>
    </w:p>
    <w:p>
      <w:pPr>
        <w:spacing w:line="280" w:lineRule="exact"/>
        <w:ind w:firstLine="480" w:firstLineChars="200"/>
        <w:rPr>
          <w:rFonts w:ascii="宋体" w:hAnsi="宋体"/>
          <w:sz w:val="24"/>
        </w:rPr>
      </w:pPr>
      <w:r>
        <w:rPr>
          <w:rFonts w:hint="eastAsia" w:ascii="宋体" w:hAnsi="宋体"/>
          <w:sz w:val="24"/>
        </w:rPr>
        <w:t>1）具有独立承担民事责任的能力；</w:t>
      </w:r>
    </w:p>
    <w:p>
      <w:pPr>
        <w:spacing w:line="280" w:lineRule="exact"/>
        <w:ind w:firstLine="480" w:firstLineChars="200"/>
        <w:rPr>
          <w:rFonts w:ascii="宋体" w:hAnsi="宋体"/>
          <w:sz w:val="24"/>
        </w:rPr>
      </w:pPr>
      <w:r>
        <w:rPr>
          <w:rFonts w:hint="eastAsia" w:ascii="宋体" w:hAnsi="宋体"/>
          <w:sz w:val="24"/>
        </w:rPr>
        <w:t>2）具有良好的商业信誉和健全的财务会计制度；</w:t>
      </w:r>
    </w:p>
    <w:p>
      <w:pPr>
        <w:spacing w:line="280" w:lineRule="exact"/>
        <w:ind w:firstLine="480" w:firstLineChars="200"/>
        <w:rPr>
          <w:rFonts w:ascii="宋体" w:hAnsi="宋体"/>
          <w:sz w:val="24"/>
        </w:rPr>
      </w:pPr>
      <w:r>
        <w:rPr>
          <w:rFonts w:hint="eastAsia" w:ascii="宋体" w:hAnsi="宋体"/>
          <w:sz w:val="24"/>
        </w:rPr>
        <w:t>3）具有履行合同所必需的设备和专业技术能力；</w:t>
      </w:r>
    </w:p>
    <w:p>
      <w:pPr>
        <w:spacing w:line="280" w:lineRule="exact"/>
        <w:ind w:firstLine="480" w:firstLineChars="200"/>
        <w:rPr>
          <w:rFonts w:ascii="宋体" w:hAnsi="宋体"/>
          <w:sz w:val="24"/>
        </w:rPr>
      </w:pPr>
      <w:r>
        <w:rPr>
          <w:rFonts w:hint="eastAsia" w:ascii="宋体" w:hAnsi="宋体"/>
          <w:sz w:val="24"/>
        </w:rPr>
        <w:t>4）依法缴纳税收和社会保障资金；</w:t>
      </w:r>
    </w:p>
    <w:p>
      <w:pPr>
        <w:spacing w:line="280" w:lineRule="exact"/>
        <w:ind w:firstLine="480" w:firstLineChars="200"/>
        <w:rPr>
          <w:rFonts w:ascii="宋体" w:hAnsi="宋体"/>
          <w:sz w:val="24"/>
        </w:rPr>
      </w:pPr>
      <w:r>
        <w:rPr>
          <w:rFonts w:hint="eastAsia" w:ascii="宋体" w:hAnsi="宋体"/>
          <w:sz w:val="24"/>
        </w:rPr>
        <w:t>5）符合法律、行政法规规定的其他条件；</w:t>
      </w:r>
    </w:p>
    <w:p>
      <w:pPr>
        <w:spacing w:line="280" w:lineRule="exact"/>
        <w:ind w:firstLine="480" w:firstLineChars="200"/>
        <w:rPr>
          <w:rFonts w:ascii="宋体" w:hAnsi="宋体"/>
          <w:sz w:val="24"/>
        </w:rPr>
      </w:pPr>
      <w:r>
        <w:rPr>
          <w:rFonts w:hint="eastAsia" w:ascii="宋体" w:hAnsi="宋体"/>
          <w:sz w:val="24"/>
        </w:rPr>
        <w:t>6）不接受联合体投标；</w:t>
      </w:r>
    </w:p>
    <w:p>
      <w:pPr>
        <w:spacing w:line="280" w:lineRule="exact"/>
        <w:ind w:firstLine="480" w:firstLineChars="200"/>
        <w:rPr>
          <w:rFonts w:ascii="宋体" w:hAnsi="宋体"/>
          <w:sz w:val="24"/>
        </w:rPr>
      </w:pPr>
      <w:r>
        <w:rPr>
          <w:rFonts w:hint="eastAsia" w:ascii="宋体" w:hAnsi="宋体"/>
          <w:sz w:val="24"/>
        </w:rPr>
        <w:t>7）单位负责人为同一人或者存在控股、管理关系的不同单位不得参加同一项目的投标活动。</w:t>
      </w:r>
    </w:p>
    <w:p>
      <w:pPr>
        <w:pStyle w:val="14"/>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6.付款方式：</w:t>
      </w:r>
      <w:r>
        <w:rPr>
          <w:rFonts w:hint="eastAsia" w:ascii="宋体" w:hAnsi="宋体"/>
          <w:b w:val="0"/>
          <w:sz w:val="24"/>
        </w:rPr>
        <w:t>无预付款；货到安装验收合格后15个工作日内支付合同价95%，剩余5%在使用期满3年无质量和服务问题一次性付清尾款（不计息）。</w:t>
      </w:r>
    </w:p>
    <w:p>
      <w:pPr>
        <w:pStyle w:val="14"/>
        <w:numPr>
          <w:ilvl w:val="0"/>
          <w:numId w:val="0"/>
        </w:numPr>
        <w:spacing w:before="0" w:after="0"/>
        <w:ind w:firstLine="482" w:firstLineChars="200"/>
        <w:jc w:val="left"/>
        <w:outlineLvl w:val="9"/>
        <w:rPr>
          <w:rFonts w:ascii="宋体" w:hAnsi="宋体"/>
          <w:b w:val="0"/>
          <w:sz w:val="24"/>
        </w:rPr>
      </w:pPr>
      <w:r>
        <w:rPr>
          <w:rFonts w:hint="eastAsia" w:ascii="宋体" w:hAnsi="宋体"/>
          <w:bCs w:val="0"/>
          <w:sz w:val="24"/>
        </w:rPr>
        <w:t>7.项目预算：</w:t>
      </w:r>
      <w:r>
        <w:rPr>
          <w:rFonts w:hint="eastAsia" w:ascii="宋体" w:hAnsi="宋体"/>
          <w:b w:val="0"/>
          <w:sz w:val="24"/>
        </w:rPr>
        <w:t>不高于人民币43.10万元。</w:t>
      </w:r>
    </w:p>
    <w:p>
      <w:pPr>
        <w:ind w:firstLine="482" w:firstLineChars="200"/>
        <w:rPr>
          <w:rFonts w:ascii="宋体" w:hAnsi="宋体"/>
          <w:sz w:val="24"/>
        </w:rPr>
      </w:pPr>
      <w:r>
        <w:rPr>
          <w:rFonts w:hint="eastAsia" w:ascii="宋体" w:hAnsi="宋体"/>
          <w:b/>
          <w:bCs/>
          <w:sz w:val="24"/>
        </w:rPr>
        <w:t>8.现场勘查：</w:t>
      </w:r>
      <w:r>
        <w:rPr>
          <w:rFonts w:hint="eastAsia" w:ascii="宋体" w:hAnsi="宋体"/>
          <w:bCs/>
          <w:sz w:val="24"/>
        </w:rPr>
        <w:t>本项目不安排集中现场勘查，投标人可自行安排现场考察事宜，进入现场前联系相关负责老师，</w:t>
      </w:r>
      <w:r>
        <w:rPr>
          <w:rFonts w:hint="eastAsia" w:ascii="宋体" w:hAnsi="宋体"/>
          <w:sz w:val="24"/>
        </w:rPr>
        <w:t>按照院方规定和要求并提前一天提供报备资料，费用自理。院方现场对接联系人</w:t>
      </w:r>
      <w:r>
        <w:rPr>
          <w:rFonts w:hint="eastAsia" w:ascii="宋体" w:hAnsi="宋体"/>
          <w:b/>
          <w:bCs/>
          <w:sz w:val="24"/>
        </w:rPr>
        <w:t>张老师，联系方式15062127296</w:t>
      </w:r>
      <w:r>
        <w:rPr>
          <w:rFonts w:hint="eastAsia" w:ascii="宋体" w:hAnsi="宋体"/>
          <w:sz w:val="24"/>
        </w:rPr>
        <w:t>。</w:t>
      </w:r>
    </w:p>
    <w:p>
      <w:pPr>
        <w:pStyle w:val="14"/>
        <w:numPr>
          <w:ilvl w:val="0"/>
          <w:numId w:val="0"/>
        </w:numPr>
        <w:spacing w:before="0" w:after="0"/>
        <w:ind w:firstLine="482" w:firstLineChars="200"/>
        <w:jc w:val="left"/>
        <w:outlineLvl w:val="9"/>
        <w:rPr>
          <w:rFonts w:ascii="宋体" w:hAnsi="宋体"/>
          <w:b w:val="0"/>
          <w:sz w:val="24"/>
        </w:rPr>
      </w:pPr>
      <w:r>
        <w:rPr>
          <w:rFonts w:hint="eastAsia" w:ascii="宋体" w:hAnsi="宋体"/>
          <w:bCs w:val="0"/>
          <w:sz w:val="24"/>
        </w:rPr>
        <w:t>9.样品提供：</w:t>
      </w:r>
      <w:r>
        <w:rPr>
          <w:rFonts w:hint="eastAsia" w:ascii="宋体" w:hAnsi="宋体"/>
          <w:b w:val="0"/>
          <w:sz w:val="24"/>
        </w:rPr>
        <w:t>本项目要求投标人提供具有产品功能、外观、尺寸、颜色、材质等介绍的彩页说明书5份。</w:t>
      </w:r>
    </w:p>
    <w:p>
      <w:pPr>
        <w:pStyle w:val="14"/>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10.供货安装期：不超过20</w:t>
      </w:r>
      <w:r>
        <w:rPr>
          <w:rFonts w:ascii="宋体" w:hAnsi="宋体"/>
          <w:kern w:val="0"/>
          <w:sz w:val="24"/>
          <w:szCs w:val="24"/>
        </w:rPr>
        <w:t>日历天，</w:t>
      </w:r>
      <w:r>
        <w:rPr>
          <w:rFonts w:hint="eastAsia" w:ascii="宋体" w:hAnsi="宋体"/>
          <w:b w:val="0"/>
          <w:sz w:val="24"/>
        </w:rPr>
        <w:t>供货商自报供货期。</w:t>
      </w:r>
    </w:p>
    <w:p>
      <w:pPr>
        <w:pStyle w:val="14"/>
        <w:numPr>
          <w:ilvl w:val="0"/>
          <w:numId w:val="0"/>
        </w:numPr>
        <w:spacing w:before="0" w:after="0"/>
        <w:ind w:firstLine="482" w:firstLineChars="200"/>
        <w:jc w:val="left"/>
        <w:outlineLvl w:val="9"/>
        <w:rPr>
          <w:rFonts w:hint="eastAsia" w:ascii="宋体" w:hAnsi="宋体"/>
          <w:b w:val="0"/>
          <w:sz w:val="24"/>
        </w:rPr>
      </w:pPr>
      <w:r>
        <w:rPr>
          <w:rFonts w:hint="eastAsia" w:ascii="宋体" w:hAnsi="宋体"/>
          <w:kern w:val="0"/>
          <w:sz w:val="24"/>
          <w:szCs w:val="24"/>
        </w:rPr>
        <w:t>11.货到地点：</w:t>
      </w:r>
      <w:r>
        <w:rPr>
          <w:rFonts w:hint="eastAsia" w:ascii="宋体" w:hAnsi="宋体"/>
          <w:b w:val="0"/>
          <w:sz w:val="24"/>
        </w:rPr>
        <w:t>科文学院潘安湖校区。</w:t>
      </w:r>
    </w:p>
    <w:p>
      <w:pPr>
        <w:pStyle w:val="14"/>
        <w:numPr>
          <w:ilvl w:val="0"/>
          <w:numId w:val="0"/>
        </w:numPr>
        <w:spacing w:before="0" w:after="0"/>
        <w:ind w:firstLine="482" w:firstLineChars="200"/>
        <w:jc w:val="left"/>
        <w:outlineLvl w:val="9"/>
        <w:rPr>
          <w:rFonts w:hint="default" w:ascii="宋体" w:hAnsi="宋体" w:eastAsia="宋体"/>
          <w:b w:val="0"/>
          <w:sz w:val="24"/>
          <w:lang w:val="en-US" w:eastAsia="zh-CN"/>
        </w:rPr>
      </w:pPr>
      <w:r>
        <w:rPr>
          <w:rFonts w:hint="eastAsia" w:ascii="宋体" w:hAnsi="宋体"/>
          <w:b/>
          <w:bCs w:val="0"/>
          <w:sz w:val="24"/>
          <w:lang w:val="en-US" w:eastAsia="zh-CN"/>
        </w:rPr>
        <w:t>12.质量要求：</w:t>
      </w:r>
      <w:r>
        <w:rPr>
          <w:rFonts w:hint="eastAsia" w:ascii="宋体" w:hAnsi="宋体"/>
          <w:b w:val="0"/>
          <w:sz w:val="24"/>
          <w:lang w:val="en-US" w:eastAsia="zh-CN"/>
        </w:rPr>
        <w:t>合格。</w:t>
      </w:r>
    </w:p>
    <w:p>
      <w:pPr>
        <w:pStyle w:val="14"/>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二、投标文件</w:t>
      </w:r>
    </w:p>
    <w:p>
      <w:pPr>
        <w:ind w:firstLine="480" w:firstLineChars="200"/>
        <w:rPr>
          <w:rFonts w:ascii="宋体" w:hAnsi="宋体"/>
          <w:kern w:val="0"/>
          <w:sz w:val="24"/>
        </w:rPr>
      </w:pPr>
      <w:r>
        <w:rPr>
          <w:rFonts w:hint="eastAsia" w:ascii="宋体" w:hAnsi="宋体"/>
          <w:kern w:val="0"/>
          <w:sz w:val="24"/>
        </w:rPr>
        <w:t>投标文件即为投标人的响应文件，下同。</w:t>
      </w:r>
    </w:p>
    <w:p>
      <w:pPr>
        <w:pStyle w:val="15"/>
        <w:numPr>
          <w:ilvl w:val="0"/>
          <w:numId w:val="0"/>
        </w:numPr>
        <w:ind w:firstLine="472" w:firstLineChars="196"/>
        <w:rPr>
          <w:b/>
          <w:sz w:val="24"/>
          <w:szCs w:val="24"/>
        </w:rPr>
      </w:pPr>
      <w:r>
        <w:rPr>
          <w:rFonts w:hint="eastAsia"/>
          <w:b/>
          <w:sz w:val="24"/>
          <w:szCs w:val="24"/>
        </w:rPr>
        <w:t>1.投标文件的语言和计量单位</w:t>
      </w:r>
    </w:p>
    <w:p>
      <w:pPr>
        <w:pStyle w:val="15"/>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pPr>
        <w:pStyle w:val="15"/>
        <w:numPr>
          <w:ilvl w:val="0"/>
          <w:numId w:val="0"/>
        </w:numPr>
        <w:ind w:firstLine="480" w:firstLineChars="200"/>
        <w:rPr>
          <w:sz w:val="24"/>
          <w:szCs w:val="24"/>
        </w:rPr>
      </w:pPr>
      <w:r>
        <w:rPr>
          <w:rFonts w:hint="eastAsia"/>
          <w:sz w:val="24"/>
          <w:szCs w:val="24"/>
        </w:rPr>
        <w:t>1.2投标文件所使用的计量单位，均采用中华人民共和国法定计量单位。</w:t>
      </w:r>
    </w:p>
    <w:p>
      <w:pPr>
        <w:pStyle w:val="15"/>
        <w:numPr>
          <w:ilvl w:val="0"/>
          <w:numId w:val="0"/>
        </w:numPr>
        <w:ind w:firstLine="472" w:firstLineChars="196"/>
        <w:rPr>
          <w:b/>
          <w:sz w:val="24"/>
          <w:szCs w:val="24"/>
        </w:rPr>
      </w:pPr>
      <w:r>
        <w:rPr>
          <w:rFonts w:hint="eastAsia"/>
          <w:b/>
          <w:sz w:val="24"/>
          <w:szCs w:val="24"/>
        </w:rPr>
        <w:t>2.投标文件的组成及相关要求</w:t>
      </w:r>
    </w:p>
    <w:p>
      <w:pPr>
        <w:pStyle w:val="15"/>
        <w:numPr>
          <w:ilvl w:val="0"/>
          <w:numId w:val="0"/>
        </w:numPr>
        <w:ind w:firstLine="480" w:firstLineChars="200"/>
        <w:rPr>
          <w:sz w:val="24"/>
          <w:szCs w:val="24"/>
        </w:rPr>
      </w:pPr>
      <w:r>
        <w:rPr>
          <w:rFonts w:hint="eastAsia"/>
          <w:sz w:val="24"/>
          <w:szCs w:val="24"/>
        </w:rPr>
        <w:t>为了方便评审，投标文件中的各项表格必须按照磋商文件要求制作。</w:t>
      </w:r>
    </w:p>
    <w:p>
      <w:pPr>
        <w:pStyle w:val="15"/>
        <w:numPr>
          <w:ilvl w:val="0"/>
          <w:numId w:val="0"/>
        </w:numPr>
        <w:ind w:firstLine="472" w:firstLineChars="196"/>
        <w:rPr>
          <w:b/>
          <w:sz w:val="24"/>
          <w:szCs w:val="24"/>
        </w:rPr>
      </w:pPr>
      <w:r>
        <w:rPr>
          <w:rFonts w:hint="eastAsia"/>
          <w:b/>
          <w:sz w:val="24"/>
          <w:szCs w:val="24"/>
        </w:rPr>
        <w:t>3.投标内容填写说明</w:t>
      </w:r>
    </w:p>
    <w:p>
      <w:pPr>
        <w:pStyle w:val="15"/>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pPr>
        <w:pStyle w:val="15"/>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15"/>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pPr>
        <w:pStyle w:val="15"/>
        <w:numPr>
          <w:ilvl w:val="0"/>
          <w:numId w:val="0"/>
        </w:numPr>
        <w:ind w:firstLine="480" w:firstLineChars="200"/>
        <w:rPr>
          <w:sz w:val="24"/>
          <w:szCs w:val="24"/>
        </w:rPr>
      </w:pPr>
      <w:r>
        <w:rPr>
          <w:rFonts w:hint="eastAsia"/>
          <w:sz w:val="24"/>
          <w:szCs w:val="24"/>
        </w:rPr>
        <w:t>本项目为交钥匙工程，投标报价应报货物递送到采购文件规定的工地指定交货地点（江苏师范大学科文学院潘安湖校区指定地点）并完成安装，报价应包括产品的生产、包装、运输、装卸、施工安装和调试、保质期内的服务、投标人的利润、税金和应承担的风险等所有费用。</w:t>
      </w:r>
    </w:p>
    <w:p>
      <w:pPr>
        <w:pStyle w:val="15"/>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pPr>
        <w:pStyle w:val="15"/>
        <w:numPr>
          <w:ilvl w:val="0"/>
          <w:numId w:val="0"/>
        </w:numPr>
        <w:ind w:firstLine="480" w:firstLineChars="200"/>
        <w:rPr>
          <w:sz w:val="24"/>
          <w:szCs w:val="24"/>
        </w:rPr>
      </w:pPr>
      <w:r>
        <w:rPr>
          <w:rFonts w:hint="eastAsia"/>
          <w:sz w:val="24"/>
          <w:szCs w:val="24"/>
        </w:rPr>
        <w:t>3.6</w:t>
      </w:r>
      <w:r>
        <w:rPr>
          <w:rFonts w:hint="eastAsia"/>
          <w:b/>
          <w:sz w:val="24"/>
          <w:szCs w:val="24"/>
        </w:rPr>
        <w:t>本项目有二次报价环节，二次报价不得高于一次报价，且二次报价为最终报价</w:t>
      </w:r>
      <w:r>
        <w:rPr>
          <w:rFonts w:hint="eastAsia"/>
          <w:sz w:val="24"/>
          <w:szCs w:val="24"/>
        </w:rPr>
        <w:t>。</w:t>
      </w:r>
    </w:p>
    <w:p>
      <w:pPr>
        <w:pStyle w:val="15"/>
        <w:numPr>
          <w:ilvl w:val="0"/>
          <w:numId w:val="0"/>
        </w:numPr>
        <w:ind w:firstLine="472" w:firstLineChars="196"/>
        <w:rPr>
          <w:b/>
          <w:sz w:val="24"/>
          <w:szCs w:val="24"/>
        </w:rPr>
      </w:pPr>
      <w:r>
        <w:rPr>
          <w:rFonts w:hint="eastAsia"/>
          <w:b/>
          <w:sz w:val="24"/>
          <w:szCs w:val="24"/>
        </w:rPr>
        <w:t>4.投标文件的编制</w:t>
      </w:r>
    </w:p>
    <w:p>
      <w:pPr>
        <w:pStyle w:val="15"/>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15"/>
        <w:numPr>
          <w:ilvl w:val="0"/>
          <w:numId w:val="4"/>
        </w:numPr>
        <w:rPr>
          <w:kern w:val="2"/>
          <w:sz w:val="24"/>
          <w:szCs w:val="24"/>
        </w:rPr>
      </w:pPr>
      <w:r>
        <w:rPr>
          <w:rFonts w:hint="eastAsia"/>
          <w:kern w:val="2"/>
          <w:sz w:val="24"/>
          <w:szCs w:val="24"/>
        </w:rPr>
        <w:t>资格审查符合性审查材料索引表；</w:t>
      </w:r>
    </w:p>
    <w:p>
      <w:pPr>
        <w:pStyle w:val="15"/>
        <w:numPr>
          <w:ilvl w:val="0"/>
          <w:numId w:val="4"/>
        </w:numPr>
        <w:rPr>
          <w:kern w:val="2"/>
          <w:sz w:val="24"/>
          <w:szCs w:val="24"/>
        </w:rPr>
      </w:pPr>
      <w:r>
        <w:rPr>
          <w:rFonts w:hint="eastAsia"/>
          <w:kern w:val="2"/>
          <w:sz w:val="24"/>
          <w:szCs w:val="24"/>
        </w:rPr>
        <w:t>投标函；</w:t>
      </w:r>
    </w:p>
    <w:p>
      <w:pPr>
        <w:pStyle w:val="15"/>
        <w:numPr>
          <w:ilvl w:val="0"/>
          <w:numId w:val="4"/>
        </w:numPr>
        <w:rPr>
          <w:kern w:val="2"/>
          <w:sz w:val="24"/>
          <w:szCs w:val="24"/>
        </w:rPr>
      </w:pPr>
      <w:r>
        <w:rPr>
          <w:rFonts w:hint="eastAsia"/>
          <w:kern w:val="2"/>
          <w:sz w:val="24"/>
          <w:szCs w:val="24"/>
        </w:rPr>
        <w:t>投标报价一览表；</w:t>
      </w:r>
    </w:p>
    <w:p>
      <w:pPr>
        <w:pStyle w:val="15"/>
        <w:numPr>
          <w:ilvl w:val="0"/>
          <w:numId w:val="4"/>
        </w:numPr>
        <w:rPr>
          <w:kern w:val="2"/>
          <w:sz w:val="24"/>
          <w:szCs w:val="24"/>
        </w:rPr>
      </w:pPr>
      <w:r>
        <w:rPr>
          <w:rFonts w:hint="eastAsia"/>
          <w:kern w:val="2"/>
          <w:sz w:val="24"/>
          <w:szCs w:val="24"/>
        </w:rPr>
        <w:t>法定代表人的授权委托书（原件封于投标文件正本中）；</w:t>
      </w:r>
    </w:p>
    <w:p>
      <w:pPr>
        <w:pStyle w:val="15"/>
        <w:numPr>
          <w:ilvl w:val="0"/>
          <w:numId w:val="4"/>
        </w:numPr>
        <w:rPr>
          <w:sz w:val="24"/>
          <w:szCs w:val="24"/>
        </w:rPr>
      </w:pPr>
      <w:r>
        <w:rPr>
          <w:rFonts w:hint="eastAsia"/>
          <w:sz w:val="24"/>
          <w:szCs w:val="24"/>
        </w:rPr>
        <w:t>承诺书（原件封于投标文件正本中）；</w:t>
      </w:r>
      <w:r>
        <w:rPr>
          <w:sz w:val="24"/>
          <w:szCs w:val="24"/>
        </w:rPr>
        <w:t xml:space="preserve"> </w:t>
      </w:r>
    </w:p>
    <w:p>
      <w:pPr>
        <w:pStyle w:val="15"/>
        <w:numPr>
          <w:ilvl w:val="0"/>
          <w:numId w:val="4"/>
        </w:numPr>
        <w:rPr>
          <w:kern w:val="2"/>
          <w:sz w:val="24"/>
          <w:szCs w:val="24"/>
        </w:rPr>
      </w:pPr>
      <w:r>
        <w:rPr>
          <w:rFonts w:hint="eastAsia"/>
          <w:kern w:val="2"/>
          <w:sz w:val="24"/>
          <w:szCs w:val="24"/>
        </w:rPr>
        <w:t>无重大违法记录的书面声明</w:t>
      </w:r>
      <w:bookmarkStart w:id="0" w:name="_Hlk38290086"/>
      <w:r>
        <w:rPr>
          <w:rFonts w:hint="eastAsia"/>
          <w:kern w:val="2"/>
          <w:sz w:val="24"/>
          <w:szCs w:val="24"/>
        </w:rPr>
        <w:t>（原件封于投标文件正本中）</w:t>
      </w:r>
      <w:bookmarkEnd w:id="0"/>
      <w:r>
        <w:rPr>
          <w:rFonts w:hint="eastAsia"/>
          <w:kern w:val="2"/>
          <w:sz w:val="24"/>
          <w:szCs w:val="24"/>
        </w:rPr>
        <w:t>；</w:t>
      </w:r>
    </w:p>
    <w:p>
      <w:pPr>
        <w:pStyle w:val="15"/>
        <w:numPr>
          <w:ilvl w:val="0"/>
          <w:numId w:val="4"/>
        </w:numPr>
        <w:rPr>
          <w:kern w:val="2"/>
          <w:sz w:val="24"/>
          <w:szCs w:val="24"/>
        </w:rPr>
      </w:pPr>
      <w:r>
        <w:rPr>
          <w:rFonts w:hint="eastAsia"/>
          <w:kern w:val="2"/>
          <w:sz w:val="24"/>
          <w:szCs w:val="24"/>
        </w:rPr>
        <w:t>投标单位情况介绍（简要说明）；</w:t>
      </w:r>
    </w:p>
    <w:p>
      <w:pPr>
        <w:pStyle w:val="15"/>
        <w:numPr>
          <w:ilvl w:val="0"/>
          <w:numId w:val="4"/>
        </w:numPr>
        <w:rPr>
          <w:bCs/>
          <w:kern w:val="2"/>
          <w:sz w:val="24"/>
          <w:szCs w:val="24"/>
        </w:rPr>
      </w:pPr>
      <w:r>
        <w:rPr>
          <w:rFonts w:hint="eastAsia"/>
          <w:kern w:val="2"/>
          <w:sz w:val="24"/>
          <w:szCs w:val="24"/>
        </w:rPr>
        <w:t>企业营业执照复印件；</w:t>
      </w:r>
    </w:p>
    <w:p>
      <w:pPr>
        <w:pStyle w:val="15"/>
        <w:numPr>
          <w:ilvl w:val="0"/>
          <w:numId w:val="4"/>
        </w:numPr>
        <w:rPr>
          <w:bCs/>
          <w:kern w:val="2"/>
          <w:sz w:val="24"/>
          <w:szCs w:val="24"/>
        </w:rPr>
      </w:pPr>
      <w:r>
        <w:rPr>
          <w:rFonts w:hint="eastAsia"/>
          <w:bCs/>
          <w:sz w:val="24"/>
        </w:rPr>
        <w:t>具备履行合同所必需的设备和专业技术能力的书面声明</w:t>
      </w:r>
      <w:r>
        <w:rPr>
          <w:rFonts w:hint="eastAsia"/>
          <w:bCs/>
          <w:sz w:val="24"/>
          <w:szCs w:val="24"/>
        </w:rPr>
        <w:t>（原件封于投标文件正本中）</w:t>
      </w:r>
      <w:r>
        <w:rPr>
          <w:rFonts w:hint="eastAsia"/>
          <w:bCs/>
          <w:sz w:val="24"/>
        </w:rPr>
        <w:t>；</w:t>
      </w:r>
    </w:p>
    <w:p>
      <w:pPr>
        <w:numPr>
          <w:ilvl w:val="0"/>
          <w:numId w:val="4"/>
        </w:numPr>
        <w:rPr>
          <w:rFonts w:ascii="宋体" w:hAnsi="宋体"/>
          <w:sz w:val="24"/>
        </w:rPr>
      </w:pPr>
      <w:r>
        <w:rPr>
          <w:rFonts w:hint="eastAsia" w:ascii="宋体" w:hAnsi="宋体"/>
          <w:sz w:val="24"/>
        </w:rPr>
        <w:t>投标人财务状况良好，提供：</w:t>
      </w:r>
    </w:p>
    <w:p>
      <w:pPr>
        <w:ind w:firstLine="480" w:firstLineChars="200"/>
        <w:rPr>
          <w:rFonts w:ascii="宋体" w:hAnsi="宋体"/>
          <w:sz w:val="24"/>
        </w:rPr>
      </w:pPr>
      <w:r>
        <w:rPr>
          <w:rFonts w:hint="eastAsia" w:ascii="宋体" w:hAnsi="宋体"/>
          <w:sz w:val="24"/>
        </w:rPr>
        <w:t>（1）投标人提交首次响应文件时间前6个月内任何1日的资产负债表复印件1份；</w:t>
      </w:r>
    </w:p>
    <w:p>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pPr>
        <w:ind w:firstLine="480" w:firstLineChars="200"/>
        <w:rPr>
          <w:rFonts w:ascii="宋体" w:hAnsi="宋体"/>
          <w:sz w:val="24"/>
        </w:rPr>
      </w:pPr>
      <w:r>
        <w:rPr>
          <w:rFonts w:hint="eastAsia" w:ascii="宋体" w:hAnsi="宋体"/>
          <w:color w:val="000000"/>
          <w:sz w:val="24"/>
        </w:rPr>
        <w:t>本条中（1）、（2）要求的材料无法提供时，可提供有审计资格的第三方出具的投标人上一年财务审计报告复印件。</w:t>
      </w:r>
    </w:p>
    <w:p>
      <w:pPr>
        <w:pStyle w:val="15"/>
        <w:numPr>
          <w:ilvl w:val="0"/>
          <w:numId w:val="0"/>
        </w:numPr>
        <w:adjustRightInd/>
        <w:ind w:firstLine="480" w:firstLineChars="200"/>
        <w:jc w:val="left"/>
        <w:rPr>
          <w:kern w:val="2"/>
          <w:sz w:val="24"/>
          <w:szCs w:val="24"/>
        </w:rPr>
      </w:pPr>
      <w:r>
        <w:rPr>
          <w:rFonts w:hint="eastAsia"/>
          <w:sz w:val="24"/>
          <w:szCs w:val="24"/>
        </w:rPr>
        <w:t>4.10未被“信用中国”网站（www.creditchina.gov.cn）列入失信执行人、重大税收违法案件当事人名单、政府采购严重违法失信行为记录名单，否则投标无效。</w:t>
      </w:r>
      <w:r>
        <w:rPr>
          <w:rFonts w:hint="eastAsia"/>
          <w:b/>
          <w:sz w:val="24"/>
          <w:szCs w:val="24"/>
        </w:rPr>
        <w:t>（须提供信用证书或信用查询截图）</w:t>
      </w:r>
    </w:p>
    <w:p>
      <w:pPr>
        <w:pStyle w:val="15"/>
        <w:numPr>
          <w:ilvl w:val="0"/>
          <w:numId w:val="0"/>
        </w:numPr>
        <w:adjustRightInd/>
        <w:ind w:firstLine="480" w:firstLineChars="200"/>
        <w:jc w:val="left"/>
        <w:rPr>
          <w:kern w:val="2"/>
          <w:sz w:val="24"/>
          <w:szCs w:val="24"/>
        </w:rPr>
      </w:pPr>
      <w:r>
        <w:rPr>
          <w:rFonts w:hint="eastAsia"/>
          <w:kern w:val="2"/>
          <w:sz w:val="24"/>
          <w:szCs w:val="24"/>
        </w:rPr>
        <w:t>4.11投标人资格条件中对企业、项目负责人资质（资格）有要求时须提供相关证书复印件，否则无须提供；</w:t>
      </w:r>
    </w:p>
    <w:p>
      <w:pPr>
        <w:pStyle w:val="15"/>
        <w:numPr>
          <w:ilvl w:val="0"/>
          <w:numId w:val="0"/>
        </w:numPr>
        <w:adjustRightInd/>
        <w:ind w:firstLine="480" w:firstLineChars="200"/>
        <w:jc w:val="left"/>
        <w:rPr>
          <w:sz w:val="24"/>
          <w:szCs w:val="24"/>
        </w:rPr>
      </w:pPr>
      <w:r>
        <w:rPr>
          <w:rFonts w:hint="eastAsia"/>
          <w:kern w:val="2"/>
          <w:sz w:val="24"/>
          <w:szCs w:val="24"/>
        </w:rPr>
        <w:t>4.12投标</w:t>
      </w:r>
      <w:r>
        <w:rPr>
          <w:rFonts w:hint="eastAsia"/>
          <w:sz w:val="24"/>
          <w:szCs w:val="24"/>
        </w:rPr>
        <w:t>单位为投标代表缴纳社保证明（提交首次响应文件时间前6个月内任何1月的依法缴纳社保的相关材料复印件）；</w:t>
      </w:r>
    </w:p>
    <w:p>
      <w:pPr>
        <w:pStyle w:val="15"/>
        <w:numPr>
          <w:ilvl w:val="0"/>
          <w:numId w:val="0"/>
        </w:numPr>
        <w:adjustRightInd/>
        <w:ind w:firstLine="480" w:firstLineChars="200"/>
        <w:jc w:val="left"/>
        <w:rPr>
          <w:kern w:val="2"/>
          <w:sz w:val="24"/>
          <w:szCs w:val="24"/>
        </w:rPr>
      </w:pPr>
      <w:r>
        <w:rPr>
          <w:rFonts w:hint="eastAsia"/>
          <w:kern w:val="2"/>
          <w:sz w:val="24"/>
          <w:szCs w:val="24"/>
        </w:rPr>
        <w:t>4.13商务和技术偏离表；</w:t>
      </w:r>
    </w:p>
    <w:p>
      <w:pPr>
        <w:pStyle w:val="15"/>
        <w:numPr>
          <w:ilvl w:val="0"/>
          <w:numId w:val="0"/>
        </w:numPr>
        <w:adjustRightInd/>
        <w:ind w:firstLine="480" w:firstLineChars="200"/>
        <w:jc w:val="left"/>
        <w:rPr>
          <w:kern w:val="2"/>
          <w:sz w:val="24"/>
          <w:szCs w:val="24"/>
        </w:rPr>
      </w:pPr>
      <w:r>
        <w:rPr>
          <w:rFonts w:hint="eastAsia"/>
          <w:kern w:val="2"/>
          <w:sz w:val="24"/>
          <w:szCs w:val="24"/>
        </w:rPr>
        <w:t>4.14设备（系统）清单（名称、参数、数量、功能、质保年限等技术性能详细说明）；</w:t>
      </w:r>
    </w:p>
    <w:p>
      <w:pPr>
        <w:pStyle w:val="15"/>
        <w:numPr>
          <w:ilvl w:val="0"/>
          <w:numId w:val="0"/>
        </w:numPr>
        <w:adjustRightInd/>
        <w:ind w:firstLine="480" w:firstLineChars="200"/>
        <w:jc w:val="left"/>
        <w:rPr>
          <w:kern w:val="2"/>
          <w:sz w:val="24"/>
          <w:szCs w:val="24"/>
        </w:rPr>
      </w:pPr>
      <w:r>
        <w:rPr>
          <w:rFonts w:hint="eastAsia"/>
          <w:kern w:val="2"/>
          <w:sz w:val="24"/>
          <w:szCs w:val="24"/>
        </w:rPr>
        <w:t>4.15实施方案（设备和软件的供货与安装调试、质量和安全保障措施）；</w:t>
      </w:r>
    </w:p>
    <w:p>
      <w:pPr>
        <w:pStyle w:val="15"/>
        <w:numPr>
          <w:ilvl w:val="0"/>
          <w:numId w:val="0"/>
        </w:numPr>
        <w:adjustRightInd/>
        <w:ind w:firstLine="480" w:firstLineChars="200"/>
        <w:jc w:val="left"/>
        <w:rPr>
          <w:kern w:val="2"/>
          <w:sz w:val="24"/>
          <w:szCs w:val="24"/>
        </w:rPr>
      </w:pPr>
      <w:r>
        <w:rPr>
          <w:rFonts w:hint="eastAsia"/>
          <w:kern w:val="2"/>
          <w:sz w:val="24"/>
          <w:szCs w:val="24"/>
        </w:rPr>
        <w:t>4.16服务支持与售后（项目负责人及人员配置、应急响应预案、售后维保方案、培训方案）；</w:t>
      </w:r>
    </w:p>
    <w:p>
      <w:pPr>
        <w:pStyle w:val="15"/>
        <w:numPr>
          <w:ilvl w:val="0"/>
          <w:numId w:val="0"/>
        </w:numPr>
        <w:adjustRightInd/>
        <w:ind w:firstLine="480" w:firstLineChars="200"/>
        <w:jc w:val="left"/>
        <w:rPr>
          <w:kern w:val="2"/>
          <w:sz w:val="24"/>
          <w:szCs w:val="24"/>
        </w:rPr>
      </w:pPr>
      <w:r>
        <w:rPr>
          <w:rFonts w:hint="eastAsia"/>
          <w:kern w:val="2"/>
          <w:sz w:val="24"/>
          <w:szCs w:val="24"/>
        </w:rPr>
        <w:t>4.17投标人业绩一览表及业绩复印件（</w:t>
      </w:r>
      <w:r>
        <w:rPr>
          <w:rFonts w:hint="eastAsia"/>
          <w:b/>
          <w:kern w:val="2"/>
          <w:sz w:val="24"/>
          <w:szCs w:val="24"/>
        </w:rPr>
        <w:t>业绩原件备查</w:t>
      </w:r>
      <w:r>
        <w:rPr>
          <w:rFonts w:hint="eastAsia"/>
          <w:kern w:val="2"/>
          <w:sz w:val="24"/>
          <w:szCs w:val="24"/>
        </w:rPr>
        <w:t>）；</w:t>
      </w:r>
    </w:p>
    <w:p>
      <w:pPr>
        <w:pStyle w:val="15"/>
        <w:numPr>
          <w:ilvl w:val="0"/>
          <w:numId w:val="0"/>
        </w:numPr>
        <w:adjustRightInd/>
        <w:ind w:firstLine="480" w:firstLineChars="200"/>
        <w:jc w:val="left"/>
        <w:rPr>
          <w:kern w:val="2"/>
          <w:sz w:val="24"/>
          <w:szCs w:val="24"/>
        </w:rPr>
      </w:pPr>
      <w:r>
        <w:rPr>
          <w:rFonts w:hint="eastAsia"/>
          <w:kern w:val="2"/>
          <w:sz w:val="24"/>
          <w:szCs w:val="24"/>
        </w:rPr>
        <w:t>4.18磋商文件中要求提交的和投标人认为需要提供的其它说明和资料。</w:t>
      </w:r>
    </w:p>
    <w:p>
      <w:pPr>
        <w:pStyle w:val="15"/>
        <w:numPr>
          <w:ilvl w:val="0"/>
          <w:numId w:val="0"/>
        </w:numPr>
        <w:ind w:firstLine="472" w:firstLineChars="196"/>
        <w:rPr>
          <w:b/>
          <w:sz w:val="24"/>
          <w:szCs w:val="24"/>
        </w:rPr>
      </w:pPr>
      <w:r>
        <w:rPr>
          <w:rFonts w:hint="eastAsia"/>
          <w:b/>
          <w:sz w:val="24"/>
          <w:szCs w:val="24"/>
        </w:rPr>
        <w:t>5.投标要求</w:t>
      </w:r>
    </w:p>
    <w:p>
      <w:pPr>
        <w:pStyle w:val="15"/>
        <w:numPr>
          <w:ilvl w:val="0"/>
          <w:numId w:val="0"/>
        </w:numPr>
        <w:ind w:firstLine="480" w:firstLineChars="200"/>
        <w:rPr>
          <w:kern w:val="2"/>
          <w:sz w:val="24"/>
          <w:szCs w:val="24"/>
        </w:rPr>
      </w:pPr>
      <w:r>
        <w:rPr>
          <w:rFonts w:hint="eastAsia"/>
          <w:kern w:val="2"/>
          <w:sz w:val="24"/>
          <w:szCs w:val="24"/>
        </w:rPr>
        <w:t>5.1 所有投标均以人民币“元”为计算单位。</w:t>
      </w:r>
    </w:p>
    <w:p>
      <w:pPr>
        <w:pStyle w:val="15"/>
        <w:numPr>
          <w:ilvl w:val="0"/>
          <w:numId w:val="0"/>
        </w:numPr>
        <w:ind w:firstLine="480" w:firstLineChars="200"/>
        <w:rPr>
          <w:kern w:val="2"/>
          <w:sz w:val="24"/>
          <w:szCs w:val="24"/>
        </w:rPr>
      </w:pPr>
      <w:r>
        <w:rPr>
          <w:rFonts w:hint="eastAsia"/>
          <w:kern w:val="2"/>
          <w:sz w:val="24"/>
          <w:szCs w:val="24"/>
        </w:rPr>
        <w:t>5.2投标人要按报价表(统一格式)的内容填写综合单价、总价及其他事项，并由法定代表人或投标人代表签署。</w:t>
      </w:r>
    </w:p>
    <w:p>
      <w:pPr>
        <w:pStyle w:val="15"/>
        <w:numPr>
          <w:ilvl w:val="0"/>
          <w:numId w:val="0"/>
        </w:numPr>
        <w:ind w:firstLine="480" w:firstLineChars="200"/>
        <w:rPr>
          <w:kern w:val="2"/>
          <w:sz w:val="24"/>
          <w:szCs w:val="24"/>
        </w:rPr>
      </w:pPr>
      <w:r>
        <w:rPr>
          <w:rFonts w:hint="eastAsia"/>
          <w:kern w:val="2"/>
          <w:sz w:val="24"/>
          <w:szCs w:val="24"/>
        </w:rPr>
        <w:t>5.3采购人不接受不明确的投标方案和投标。</w:t>
      </w:r>
    </w:p>
    <w:p>
      <w:pPr>
        <w:pStyle w:val="15"/>
        <w:numPr>
          <w:ilvl w:val="0"/>
          <w:numId w:val="0"/>
        </w:numPr>
        <w:ind w:firstLine="480" w:firstLineChars="200"/>
        <w:rPr>
          <w:kern w:val="2"/>
          <w:sz w:val="24"/>
          <w:szCs w:val="24"/>
        </w:rPr>
      </w:pPr>
      <w:r>
        <w:rPr>
          <w:rFonts w:hint="eastAsia"/>
          <w:kern w:val="2"/>
          <w:sz w:val="24"/>
          <w:szCs w:val="24"/>
        </w:rPr>
        <w:t>5.</w:t>
      </w:r>
      <w:r>
        <w:rPr>
          <w:kern w:val="2"/>
          <w:sz w:val="24"/>
          <w:szCs w:val="24"/>
        </w:rPr>
        <w:t>4</w:t>
      </w:r>
      <w:r>
        <w:rPr>
          <w:rFonts w:hint="eastAsia"/>
          <w:kern w:val="2"/>
          <w:sz w:val="24"/>
          <w:szCs w:val="24"/>
        </w:rPr>
        <w:t>以可调整的价格提交的投标将被视为非响应性投标而被拒绝。</w:t>
      </w:r>
    </w:p>
    <w:p>
      <w:pPr>
        <w:pStyle w:val="15"/>
        <w:numPr>
          <w:ilvl w:val="0"/>
          <w:numId w:val="0"/>
        </w:numPr>
        <w:ind w:firstLine="480" w:firstLineChars="200"/>
        <w:rPr>
          <w:kern w:val="2"/>
          <w:sz w:val="24"/>
          <w:szCs w:val="24"/>
        </w:rPr>
      </w:pPr>
      <w:r>
        <w:rPr>
          <w:rFonts w:hint="eastAsia"/>
          <w:kern w:val="2"/>
          <w:sz w:val="24"/>
          <w:szCs w:val="24"/>
        </w:rPr>
        <w:t>5.</w:t>
      </w:r>
      <w:r>
        <w:rPr>
          <w:kern w:val="2"/>
          <w:sz w:val="24"/>
          <w:szCs w:val="24"/>
        </w:rPr>
        <w:t>5</w:t>
      </w:r>
      <w:r>
        <w:rPr>
          <w:rFonts w:hint="eastAsia"/>
          <w:kern w:val="2"/>
          <w:sz w:val="24"/>
          <w:szCs w:val="24"/>
        </w:rPr>
        <w:t>最低投标价不能作为成交的保证。</w:t>
      </w:r>
    </w:p>
    <w:p>
      <w:pPr>
        <w:pStyle w:val="15"/>
        <w:numPr>
          <w:ilvl w:val="0"/>
          <w:numId w:val="0"/>
        </w:numPr>
        <w:ind w:firstLine="472" w:firstLineChars="196"/>
        <w:rPr>
          <w:b/>
          <w:sz w:val="24"/>
          <w:szCs w:val="24"/>
        </w:rPr>
      </w:pPr>
      <w:r>
        <w:rPr>
          <w:rFonts w:hint="eastAsia"/>
          <w:b/>
          <w:sz w:val="24"/>
          <w:szCs w:val="24"/>
        </w:rPr>
        <w:t>6.投标保证金及标书费</w:t>
      </w:r>
    </w:p>
    <w:p>
      <w:pPr>
        <w:pStyle w:val="15"/>
        <w:numPr>
          <w:ilvl w:val="0"/>
          <w:numId w:val="0"/>
        </w:numPr>
        <w:ind w:firstLine="360" w:firstLineChars="150"/>
        <w:rPr>
          <w:kern w:val="2"/>
          <w:sz w:val="24"/>
          <w:szCs w:val="24"/>
        </w:rPr>
      </w:pPr>
      <w:r>
        <w:rPr>
          <w:rFonts w:hint="eastAsia"/>
          <w:kern w:val="2"/>
          <w:sz w:val="24"/>
          <w:szCs w:val="24"/>
        </w:rPr>
        <w:t xml:space="preserve"> 6.1本项目不收取投标保证金。</w:t>
      </w:r>
    </w:p>
    <w:p>
      <w:pPr>
        <w:pStyle w:val="15"/>
        <w:numPr>
          <w:ilvl w:val="0"/>
          <w:numId w:val="0"/>
        </w:numPr>
        <w:ind w:firstLine="480" w:firstLineChars="200"/>
        <w:rPr>
          <w:kern w:val="2"/>
          <w:sz w:val="24"/>
          <w:szCs w:val="24"/>
        </w:rPr>
      </w:pPr>
      <w:r>
        <w:rPr>
          <w:rFonts w:hint="eastAsia"/>
          <w:kern w:val="2"/>
          <w:sz w:val="24"/>
          <w:szCs w:val="24"/>
        </w:rPr>
        <w:t>6</w:t>
      </w:r>
      <w:r>
        <w:rPr>
          <w:kern w:val="2"/>
          <w:sz w:val="24"/>
          <w:szCs w:val="24"/>
        </w:rPr>
        <w:t>.2</w:t>
      </w:r>
      <w:r>
        <w:rPr>
          <w:rFonts w:hint="eastAsia"/>
          <w:kern w:val="2"/>
          <w:sz w:val="24"/>
          <w:szCs w:val="24"/>
        </w:rPr>
        <w:t>标书费金额及缴纳方式见“磋商公告”。</w:t>
      </w:r>
    </w:p>
    <w:p>
      <w:pPr>
        <w:pStyle w:val="15"/>
        <w:numPr>
          <w:ilvl w:val="0"/>
          <w:numId w:val="0"/>
        </w:numPr>
        <w:ind w:firstLine="360" w:firstLineChars="150"/>
        <w:rPr>
          <w:b/>
          <w:sz w:val="24"/>
          <w:szCs w:val="24"/>
        </w:rPr>
      </w:pPr>
      <w:r>
        <w:rPr>
          <w:rFonts w:hint="eastAsia"/>
          <w:kern w:val="2"/>
          <w:sz w:val="24"/>
          <w:szCs w:val="24"/>
        </w:rPr>
        <w:t xml:space="preserve"> </w:t>
      </w:r>
      <w:r>
        <w:rPr>
          <w:rFonts w:hint="eastAsia"/>
          <w:b/>
          <w:sz w:val="24"/>
          <w:szCs w:val="24"/>
        </w:rPr>
        <w:t>7.投标文件的有效期</w:t>
      </w:r>
    </w:p>
    <w:p>
      <w:pPr>
        <w:pStyle w:val="15"/>
        <w:numPr>
          <w:ilvl w:val="0"/>
          <w:numId w:val="0"/>
        </w:numPr>
        <w:ind w:firstLine="240" w:firstLineChars="100"/>
        <w:rPr>
          <w:kern w:val="2"/>
          <w:sz w:val="24"/>
          <w:szCs w:val="24"/>
        </w:rPr>
      </w:pPr>
      <w:r>
        <w:rPr>
          <w:rFonts w:hint="eastAsia"/>
          <w:kern w:val="2"/>
          <w:sz w:val="24"/>
          <w:szCs w:val="24"/>
        </w:rPr>
        <w:t xml:space="preserve">  7.1 自投标日起90日内，投标文件应保持有效。如投标人无特别说明，则视为投标人接受此条款。有效期短于该规定期限的投标，将被拒绝。</w:t>
      </w:r>
    </w:p>
    <w:p>
      <w:pPr>
        <w:pStyle w:val="15"/>
        <w:numPr>
          <w:ilvl w:val="0"/>
          <w:numId w:val="0"/>
        </w:numPr>
        <w:ind w:firstLine="240" w:firstLineChars="100"/>
        <w:rPr>
          <w:sz w:val="24"/>
          <w:szCs w:val="24"/>
        </w:rPr>
      </w:pPr>
      <w:r>
        <w:rPr>
          <w:rFonts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15"/>
        <w:numPr>
          <w:ilvl w:val="0"/>
          <w:numId w:val="0"/>
        </w:numPr>
        <w:ind w:firstLine="234" w:firstLineChars="97"/>
        <w:rPr>
          <w:b/>
          <w:sz w:val="24"/>
          <w:szCs w:val="24"/>
        </w:rPr>
      </w:pPr>
      <w:r>
        <w:rPr>
          <w:rFonts w:hint="eastAsia"/>
          <w:b/>
          <w:sz w:val="24"/>
          <w:szCs w:val="24"/>
        </w:rPr>
        <w:t xml:space="preserve">  8.投标文件的签署及其他规定</w:t>
      </w:r>
    </w:p>
    <w:p>
      <w:pPr>
        <w:pStyle w:val="15"/>
        <w:numPr>
          <w:ilvl w:val="0"/>
          <w:numId w:val="0"/>
        </w:numPr>
        <w:ind w:firstLine="240" w:firstLineChars="100"/>
        <w:rPr>
          <w:sz w:val="24"/>
          <w:szCs w:val="24"/>
        </w:rPr>
      </w:pPr>
      <w:r>
        <w:rPr>
          <w:rFonts w:hint="eastAsia"/>
          <w:sz w:val="24"/>
          <w:szCs w:val="24"/>
        </w:rPr>
        <w:t xml:space="preserve">  8.1 组成投标文件的各项文件均应遵守本条。</w:t>
      </w:r>
    </w:p>
    <w:p>
      <w:pPr>
        <w:pStyle w:val="15"/>
        <w:numPr>
          <w:ilvl w:val="0"/>
          <w:numId w:val="0"/>
        </w:numPr>
        <w:ind w:firstLine="240" w:firstLineChars="100"/>
        <w:rPr>
          <w:sz w:val="24"/>
          <w:szCs w:val="24"/>
        </w:rPr>
      </w:pPr>
      <w:r>
        <w:rPr>
          <w:rFonts w:hint="eastAsia"/>
          <w:sz w:val="24"/>
          <w:szCs w:val="24"/>
        </w:rPr>
        <w:t xml:space="preserve">  8.2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pPr>
        <w:pStyle w:val="15"/>
        <w:numPr>
          <w:ilvl w:val="0"/>
          <w:numId w:val="0"/>
        </w:numPr>
        <w:ind w:firstLine="240" w:firstLineChars="100"/>
        <w:rPr>
          <w:sz w:val="24"/>
          <w:szCs w:val="24"/>
        </w:rPr>
      </w:pPr>
      <w:r>
        <w:rPr>
          <w:rFonts w:hint="eastAsia"/>
          <w:sz w:val="24"/>
          <w:szCs w:val="24"/>
        </w:rPr>
        <w:t xml:space="preserve">  8.3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15"/>
        <w:numPr>
          <w:ilvl w:val="0"/>
          <w:numId w:val="0"/>
        </w:numPr>
        <w:ind w:firstLine="240" w:firstLineChars="100"/>
        <w:rPr>
          <w:kern w:val="2"/>
          <w:sz w:val="24"/>
          <w:szCs w:val="24"/>
        </w:rPr>
      </w:pPr>
      <w:r>
        <w:rPr>
          <w:rFonts w:hint="eastAsia"/>
          <w:kern w:val="2"/>
          <w:sz w:val="24"/>
          <w:szCs w:val="24"/>
        </w:rPr>
        <w:t xml:space="preserve">  8.4 </w:t>
      </w:r>
      <w:r>
        <w:rPr>
          <w:rFonts w:hint="eastAsia"/>
          <w:b/>
          <w:kern w:val="2"/>
          <w:sz w:val="24"/>
          <w:szCs w:val="24"/>
        </w:rPr>
        <w:t>投标文件一式5份，其中正本1份，副本4份。</w:t>
      </w:r>
    </w:p>
    <w:p>
      <w:pPr>
        <w:pStyle w:val="15"/>
        <w:numPr>
          <w:ilvl w:val="0"/>
          <w:numId w:val="0"/>
        </w:numPr>
        <w:ind w:firstLine="240" w:firstLineChars="100"/>
        <w:rPr>
          <w:sz w:val="24"/>
          <w:szCs w:val="24"/>
        </w:rPr>
      </w:pPr>
      <w:r>
        <w:rPr>
          <w:rFonts w:hint="eastAsia"/>
          <w:sz w:val="24"/>
          <w:szCs w:val="24"/>
        </w:rPr>
        <w:t xml:space="preserve">  8.5 投标文件的正本必须用不褪色的黑色签字笔填写或打印，注明“正本”字样，并由投标人的法定代表人或投标人代表签字。</w:t>
      </w:r>
    </w:p>
    <w:p>
      <w:pPr>
        <w:pStyle w:val="15"/>
        <w:numPr>
          <w:ilvl w:val="0"/>
          <w:numId w:val="0"/>
        </w:numPr>
        <w:ind w:firstLine="240" w:firstLineChars="100"/>
        <w:rPr>
          <w:sz w:val="24"/>
          <w:szCs w:val="24"/>
        </w:rPr>
      </w:pPr>
      <w:r>
        <w:rPr>
          <w:rFonts w:hint="eastAsia"/>
          <w:sz w:val="24"/>
          <w:szCs w:val="24"/>
        </w:rPr>
        <w:t xml:space="preserve">  8.6 投标文件应字迹清楚、内容齐全、不得涂改和增删。如果有修改错漏处，修改处须有投标人公章及法定代表人或投标人代表签字。</w:t>
      </w:r>
    </w:p>
    <w:p>
      <w:pPr>
        <w:pStyle w:val="15"/>
        <w:numPr>
          <w:ilvl w:val="0"/>
          <w:numId w:val="0"/>
        </w:numPr>
        <w:ind w:firstLine="240" w:firstLineChars="100"/>
        <w:rPr>
          <w:sz w:val="24"/>
          <w:szCs w:val="24"/>
        </w:rPr>
      </w:pPr>
      <w:r>
        <w:rPr>
          <w:rFonts w:hint="eastAsia"/>
          <w:sz w:val="24"/>
          <w:szCs w:val="24"/>
        </w:rPr>
        <w:t xml:space="preserve">  8.7因投标文件字迹潦草或表达不清所引起的不利后果由投标人承担。</w:t>
      </w:r>
    </w:p>
    <w:p>
      <w:pPr>
        <w:pStyle w:val="14"/>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三、投标文件的递交</w:t>
      </w:r>
    </w:p>
    <w:p>
      <w:pPr>
        <w:pStyle w:val="15"/>
        <w:numPr>
          <w:ilvl w:val="0"/>
          <w:numId w:val="0"/>
        </w:numPr>
        <w:tabs>
          <w:tab w:val="left" w:pos="480"/>
        </w:tabs>
        <w:ind w:firstLine="482" w:firstLineChars="200"/>
        <w:rPr>
          <w:b/>
          <w:sz w:val="24"/>
          <w:szCs w:val="24"/>
        </w:rPr>
      </w:pPr>
      <w:r>
        <w:rPr>
          <w:rFonts w:hint="eastAsia"/>
          <w:b/>
          <w:sz w:val="24"/>
          <w:szCs w:val="24"/>
        </w:rPr>
        <w:t>1.投标文件的密封及标记</w:t>
      </w:r>
    </w:p>
    <w:p>
      <w:pPr>
        <w:ind w:firstLine="480" w:firstLineChars="200"/>
        <w:rPr>
          <w:rFonts w:ascii="宋体" w:hAnsi="宋体"/>
          <w:sz w:val="24"/>
        </w:rPr>
      </w:pPr>
      <w:r>
        <w:rPr>
          <w:rFonts w:hint="eastAsia" w:ascii="宋体" w:hAnsi="宋体"/>
          <w:sz w:val="24"/>
        </w:rPr>
        <w:t>1.1投标文件应按以下方法分别装袋密封：</w:t>
      </w:r>
    </w:p>
    <w:p>
      <w:pPr>
        <w:ind w:firstLine="480" w:firstLineChars="200"/>
        <w:rPr>
          <w:rFonts w:ascii="宋体" w:hAnsi="宋体"/>
          <w:sz w:val="24"/>
        </w:rPr>
      </w:pPr>
      <w:r>
        <w:rPr>
          <w:rFonts w:hint="eastAsia" w:ascii="宋体" w:hAnsi="宋体"/>
          <w:sz w:val="24"/>
        </w:rPr>
        <w:t>投标文件密封袋内装投标文件正副本共一式5份（及投标人认为有必要提交的其他资料）。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pPr>
        <w:ind w:firstLine="480" w:firstLineChars="200"/>
        <w:rPr>
          <w:rFonts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pPr>
        <w:pStyle w:val="15"/>
        <w:numPr>
          <w:ilvl w:val="0"/>
          <w:numId w:val="0"/>
        </w:numPr>
        <w:tabs>
          <w:tab w:val="left" w:pos="480"/>
        </w:tabs>
        <w:ind w:firstLine="482" w:firstLineChars="200"/>
        <w:rPr>
          <w:b/>
          <w:sz w:val="24"/>
          <w:szCs w:val="24"/>
        </w:rPr>
      </w:pPr>
      <w:r>
        <w:rPr>
          <w:rFonts w:hint="eastAsia"/>
          <w:b/>
          <w:sz w:val="24"/>
          <w:szCs w:val="24"/>
        </w:rPr>
        <w:t>2.投标截止时间</w:t>
      </w:r>
    </w:p>
    <w:p>
      <w:pPr>
        <w:ind w:firstLine="480" w:firstLineChars="200"/>
        <w:rPr>
          <w:rFonts w:ascii="宋体" w:hAnsi="宋体"/>
          <w:sz w:val="24"/>
        </w:rPr>
      </w:pPr>
      <w:r>
        <w:rPr>
          <w:rFonts w:hint="eastAsia" w:ascii="宋体" w:hAnsi="宋体"/>
          <w:sz w:val="24"/>
        </w:rPr>
        <w:t>2.1投标文件须按照磋商文件或磋商公告规定的时间、地点送达。</w:t>
      </w:r>
    </w:p>
    <w:p>
      <w:pPr>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pPr>
        <w:ind w:firstLine="480" w:firstLineChars="200"/>
        <w:rPr>
          <w:rFonts w:ascii="宋体" w:hAnsi="宋体"/>
          <w:sz w:val="24"/>
        </w:rPr>
      </w:pPr>
      <w:r>
        <w:rPr>
          <w:rFonts w:hint="eastAsia" w:ascii="宋体" w:hAnsi="宋体"/>
          <w:sz w:val="24"/>
        </w:rPr>
        <w:t>2.3拒绝接收在提交投标文件截止时间以后送达的投标文件。</w:t>
      </w:r>
    </w:p>
    <w:p>
      <w:pPr>
        <w:pStyle w:val="15"/>
        <w:numPr>
          <w:ilvl w:val="0"/>
          <w:numId w:val="0"/>
        </w:numPr>
        <w:tabs>
          <w:tab w:val="left" w:pos="480"/>
        </w:tabs>
        <w:ind w:firstLine="482" w:firstLineChars="200"/>
        <w:rPr>
          <w:b/>
          <w:sz w:val="24"/>
          <w:szCs w:val="24"/>
        </w:rPr>
      </w:pPr>
      <w:r>
        <w:rPr>
          <w:rFonts w:hint="eastAsia"/>
          <w:b/>
          <w:sz w:val="24"/>
          <w:szCs w:val="24"/>
        </w:rPr>
        <w:t>3.投标文件的修改和撤回</w:t>
      </w:r>
    </w:p>
    <w:p>
      <w:pPr>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pPr>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pPr>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pPr>
        <w:pStyle w:val="14"/>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四、开标评标</w:t>
      </w:r>
    </w:p>
    <w:p>
      <w:pPr>
        <w:pStyle w:val="15"/>
        <w:numPr>
          <w:ilvl w:val="0"/>
          <w:numId w:val="0"/>
        </w:numPr>
        <w:ind w:left="420" w:leftChars="200"/>
        <w:rPr>
          <w:b/>
          <w:sz w:val="24"/>
          <w:szCs w:val="24"/>
        </w:rPr>
      </w:pPr>
      <w:r>
        <w:rPr>
          <w:rFonts w:hint="eastAsia"/>
          <w:b/>
          <w:sz w:val="24"/>
          <w:szCs w:val="24"/>
        </w:rPr>
        <w:t>1.评标原则</w:t>
      </w:r>
    </w:p>
    <w:p>
      <w:pPr>
        <w:ind w:firstLine="480" w:firstLineChars="200"/>
        <w:rPr>
          <w:rFonts w:ascii="宋体" w:hAnsi="宋体"/>
          <w:sz w:val="24"/>
        </w:rPr>
      </w:pPr>
      <w:r>
        <w:rPr>
          <w:rFonts w:hint="eastAsia" w:ascii="宋体" w:hAnsi="宋体"/>
          <w:sz w:val="24"/>
        </w:rPr>
        <w:t>1.1投标人资格与资质条件是否符合磋商文件的要求；</w:t>
      </w:r>
    </w:p>
    <w:p>
      <w:pPr>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pPr>
        <w:ind w:firstLine="480" w:firstLineChars="200"/>
        <w:rPr>
          <w:rFonts w:ascii="宋体" w:hAnsi="宋体"/>
          <w:sz w:val="24"/>
        </w:rPr>
      </w:pPr>
      <w:r>
        <w:rPr>
          <w:rFonts w:hint="eastAsia" w:ascii="宋体" w:hAnsi="宋体"/>
          <w:sz w:val="24"/>
        </w:rPr>
        <w:t>1.3投标人的技术文件是否合理可行；</w:t>
      </w:r>
    </w:p>
    <w:p>
      <w:pPr>
        <w:ind w:firstLine="480" w:firstLineChars="200"/>
        <w:rPr>
          <w:rFonts w:ascii="宋体" w:hAnsi="宋体"/>
          <w:sz w:val="24"/>
        </w:rPr>
      </w:pPr>
      <w:r>
        <w:rPr>
          <w:rFonts w:hint="eastAsia" w:ascii="宋体" w:hAnsi="宋体"/>
          <w:sz w:val="24"/>
        </w:rPr>
        <w:t>1.4投标人是否具备良好的经营状况和履行本项目的能力。</w:t>
      </w:r>
    </w:p>
    <w:p>
      <w:pPr>
        <w:pStyle w:val="15"/>
        <w:numPr>
          <w:ilvl w:val="0"/>
          <w:numId w:val="0"/>
        </w:numPr>
        <w:ind w:left="420" w:leftChars="200"/>
        <w:rPr>
          <w:b/>
          <w:sz w:val="24"/>
          <w:szCs w:val="24"/>
        </w:rPr>
      </w:pPr>
      <w:r>
        <w:rPr>
          <w:rFonts w:hint="eastAsia"/>
          <w:b/>
          <w:sz w:val="24"/>
          <w:szCs w:val="24"/>
        </w:rPr>
        <w:t>2.开标</w:t>
      </w:r>
    </w:p>
    <w:p>
      <w:pPr>
        <w:pStyle w:val="15"/>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15"/>
        <w:numPr>
          <w:ilvl w:val="0"/>
          <w:numId w:val="0"/>
        </w:numPr>
        <w:tabs>
          <w:tab w:val="left" w:pos="420"/>
        </w:tabs>
        <w:ind w:left="420" w:leftChars="200"/>
        <w:rPr>
          <w:b/>
          <w:sz w:val="24"/>
          <w:szCs w:val="24"/>
        </w:rPr>
      </w:pPr>
      <w:r>
        <w:rPr>
          <w:rFonts w:hint="eastAsia"/>
          <w:b/>
          <w:sz w:val="24"/>
          <w:szCs w:val="24"/>
        </w:rPr>
        <w:t>4.评标</w:t>
      </w:r>
    </w:p>
    <w:p>
      <w:pPr>
        <w:ind w:firstLine="480" w:firstLineChars="200"/>
        <w:jc w:val="left"/>
        <w:rPr>
          <w:rFonts w:ascii="宋体" w:hAnsi="宋体"/>
          <w:color w:val="000000"/>
          <w:sz w:val="24"/>
        </w:rPr>
      </w:pPr>
      <w:r>
        <w:rPr>
          <w:rFonts w:hint="eastAsia" w:ascii="宋体" w:hAnsi="宋体"/>
          <w:color w:val="000000"/>
          <w:sz w:val="24"/>
        </w:rPr>
        <w:t>在学院监督部门参与下，由我院集中采购中心办负责组建的评标小组本着公平、公正的原则，采用综合评分法评标。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pStyle w:val="14"/>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五、授予合同</w:t>
      </w:r>
    </w:p>
    <w:p>
      <w:pPr>
        <w:ind w:firstLine="482" w:firstLineChars="200"/>
        <w:rPr>
          <w:rFonts w:ascii="宋体" w:hAnsi="宋体"/>
          <w:sz w:val="24"/>
        </w:rPr>
      </w:pPr>
      <w:r>
        <w:rPr>
          <w:rFonts w:hint="eastAsia" w:ascii="宋体" w:hAnsi="宋体"/>
          <w:b/>
          <w:sz w:val="24"/>
        </w:rPr>
        <w:t>1.授予合同的顺序</w:t>
      </w:r>
    </w:p>
    <w:p>
      <w:pPr>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pPr>
        <w:pStyle w:val="15"/>
        <w:numPr>
          <w:ilvl w:val="0"/>
          <w:numId w:val="0"/>
        </w:numPr>
        <w:ind w:left="420" w:leftChars="200"/>
        <w:rPr>
          <w:b/>
          <w:sz w:val="24"/>
          <w:szCs w:val="24"/>
        </w:rPr>
      </w:pPr>
      <w:r>
        <w:rPr>
          <w:rFonts w:hint="eastAsia"/>
          <w:b/>
          <w:sz w:val="24"/>
          <w:szCs w:val="24"/>
        </w:rPr>
        <w:t>2.采购人拒绝投标的权利</w:t>
      </w:r>
    </w:p>
    <w:p>
      <w:pPr>
        <w:pStyle w:val="15"/>
        <w:numPr>
          <w:ilvl w:val="0"/>
          <w:numId w:val="0"/>
        </w:numPr>
        <w:ind w:left="420" w:leftChars="200"/>
        <w:rPr>
          <w:sz w:val="24"/>
          <w:szCs w:val="24"/>
        </w:rPr>
      </w:pPr>
      <w:r>
        <w:rPr>
          <w:rFonts w:hint="eastAsia"/>
          <w:sz w:val="24"/>
          <w:szCs w:val="24"/>
        </w:rPr>
        <w:t>出现下列情况之一时，采购人有权拒绝所有投标，并将理由通知所有投标人：</w:t>
      </w:r>
    </w:p>
    <w:p>
      <w:pPr>
        <w:ind w:firstLine="480" w:firstLineChars="200"/>
        <w:rPr>
          <w:rFonts w:ascii="宋体" w:hAnsi="宋体"/>
          <w:sz w:val="24"/>
        </w:rPr>
      </w:pPr>
      <w:r>
        <w:rPr>
          <w:rFonts w:hint="eastAsia" w:ascii="宋体" w:hAnsi="宋体"/>
          <w:sz w:val="24"/>
        </w:rPr>
        <w:t>2.1出现影响采购公正的违法、违规行为的；</w:t>
      </w:r>
    </w:p>
    <w:p>
      <w:pPr>
        <w:ind w:firstLine="480" w:firstLineChars="200"/>
        <w:rPr>
          <w:rFonts w:ascii="宋体" w:hAnsi="宋体"/>
          <w:sz w:val="24"/>
        </w:rPr>
      </w:pPr>
      <w:r>
        <w:rPr>
          <w:rFonts w:hint="eastAsia" w:ascii="宋体" w:hAnsi="宋体"/>
          <w:sz w:val="24"/>
        </w:rPr>
        <w:t>2.2投标人的投标均超过了采购预算或最高限价，采购人不能支付的；</w:t>
      </w:r>
    </w:p>
    <w:p>
      <w:pPr>
        <w:ind w:firstLine="480" w:firstLineChars="200"/>
        <w:rPr>
          <w:rFonts w:ascii="宋体" w:hAnsi="宋体"/>
          <w:sz w:val="24"/>
        </w:rPr>
      </w:pPr>
      <w:r>
        <w:rPr>
          <w:rFonts w:hint="eastAsia" w:ascii="宋体" w:hAnsi="宋体"/>
          <w:sz w:val="24"/>
        </w:rPr>
        <w:t>2.3因重大变故，采购任务取消的。</w:t>
      </w:r>
    </w:p>
    <w:p>
      <w:pPr>
        <w:pStyle w:val="15"/>
        <w:numPr>
          <w:ilvl w:val="0"/>
          <w:numId w:val="0"/>
        </w:numPr>
        <w:ind w:left="420" w:leftChars="200"/>
        <w:rPr>
          <w:b/>
          <w:sz w:val="24"/>
          <w:szCs w:val="24"/>
        </w:rPr>
      </w:pPr>
      <w:r>
        <w:rPr>
          <w:rFonts w:hint="eastAsia"/>
          <w:b/>
          <w:sz w:val="24"/>
          <w:szCs w:val="24"/>
        </w:rPr>
        <w:t>3.成交通知</w:t>
      </w:r>
    </w:p>
    <w:p>
      <w:pPr>
        <w:ind w:firstLine="480" w:firstLineChars="200"/>
        <w:jc w:val="left"/>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pPr>
        <w:ind w:firstLine="480" w:firstLineChars="200"/>
        <w:rPr>
          <w:rFonts w:ascii="宋体" w:hAnsi="宋体"/>
          <w:sz w:val="24"/>
        </w:rPr>
      </w:pPr>
      <w:r>
        <w:rPr>
          <w:rFonts w:hint="eastAsia" w:ascii="宋体" w:hAnsi="宋体"/>
          <w:sz w:val="24"/>
        </w:rPr>
        <w:t>3.2成交结果公告结束后，成交人需到集中采购中心领取成交通知书。</w:t>
      </w:r>
    </w:p>
    <w:p>
      <w:pPr>
        <w:ind w:firstLine="480" w:firstLineChars="200"/>
        <w:rPr>
          <w:rFonts w:ascii="宋体" w:hAnsi="宋体"/>
          <w:sz w:val="24"/>
        </w:rPr>
      </w:pPr>
      <w:r>
        <w:rPr>
          <w:rFonts w:hint="eastAsia" w:ascii="宋体" w:hAnsi="宋体"/>
          <w:sz w:val="24"/>
        </w:rPr>
        <w:t>3.3成交通知书是合同的组成部分。</w:t>
      </w:r>
    </w:p>
    <w:p>
      <w:pPr>
        <w:pStyle w:val="15"/>
        <w:numPr>
          <w:ilvl w:val="0"/>
          <w:numId w:val="0"/>
        </w:numPr>
        <w:ind w:left="420" w:leftChars="200"/>
        <w:rPr>
          <w:b/>
          <w:sz w:val="24"/>
          <w:szCs w:val="24"/>
        </w:rPr>
      </w:pPr>
      <w:r>
        <w:rPr>
          <w:rFonts w:hint="eastAsia"/>
          <w:b/>
          <w:sz w:val="24"/>
          <w:szCs w:val="24"/>
        </w:rPr>
        <w:t>4.签订合同</w:t>
      </w:r>
    </w:p>
    <w:p>
      <w:pPr>
        <w:ind w:firstLine="480" w:firstLineChars="200"/>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pPr>
        <w:ind w:firstLine="480" w:firstLineChars="200"/>
        <w:rPr>
          <w:rFonts w:ascii="宋体" w:hAnsi="宋体"/>
          <w:sz w:val="24"/>
        </w:rPr>
      </w:pPr>
      <w:r>
        <w:rPr>
          <w:rFonts w:hint="eastAsia" w:ascii="宋体" w:hAnsi="宋体"/>
          <w:sz w:val="24"/>
        </w:rPr>
        <w:t>4.2成交人应按照磋商文件、投标文件及评审过程中有关的澄清说明或补正文件的内容与采购人签订合同。</w:t>
      </w:r>
    </w:p>
    <w:p>
      <w:pPr>
        <w:ind w:firstLine="480" w:firstLineChars="200"/>
        <w:rPr>
          <w:rFonts w:ascii="宋体" w:hAnsi="宋体"/>
          <w:sz w:val="24"/>
        </w:rPr>
      </w:pPr>
      <w:r>
        <w:rPr>
          <w:rFonts w:hint="eastAsia" w:ascii="宋体" w:hAnsi="宋体"/>
          <w:sz w:val="24"/>
        </w:rPr>
        <w:t>4.3投标人一旦成交，签订合同后不得分包或转包，否则将被视为成交后撤回投标处理。</w:t>
      </w:r>
    </w:p>
    <w:p>
      <w:pPr>
        <w:ind w:firstLine="480" w:firstLineChars="200"/>
        <w:rPr>
          <w:rFonts w:ascii="宋体" w:hAnsi="宋体"/>
          <w:sz w:val="24"/>
        </w:rPr>
      </w:pPr>
      <w:r>
        <w:rPr>
          <w:rFonts w:hint="eastAsia" w:ascii="宋体" w:hAnsi="宋体"/>
          <w:sz w:val="24"/>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pPr>
        <w:pStyle w:val="14"/>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六、询问和质疑</w:t>
      </w:r>
    </w:p>
    <w:p>
      <w:pPr>
        <w:pStyle w:val="15"/>
        <w:numPr>
          <w:ilvl w:val="0"/>
          <w:numId w:val="0"/>
        </w:numPr>
        <w:ind w:left="420" w:leftChars="200"/>
        <w:rPr>
          <w:b/>
          <w:sz w:val="24"/>
          <w:szCs w:val="24"/>
        </w:rPr>
      </w:pPr>
      <w:r>
        <w:rPr>
          <w:rFonts w:hint="eastAsia"/>
          <w:b/>
          <w:sz w:val="24"/>
          <w:szCs w:val="24"/>
        </w:rPr>
        <w:t>1.投标人有权就采购程序或签订合同的事宜提出质疑</w:t>
      </w:r>
    </w:p>
    <w:p>
      <w:pPr>
        <w:ind w:firstLine="480" w:firstLineChars="200"/>
        <w:rPr>
          <w:rFonts w:ascii="宋体" w:hAnsi="宋体"/>
          <w:sz w:val="24"/>
        </w:rPr>
      </w:pPr>
      <w:r>
        <w:rPr>
          <w:rFonts w:hint="eastAsia" w:ascii="宋体" w:hAnsi="宋体"/>
          <w:sz w:val="24"/>
        </w:rPr>
        <w:t>1.1投标人对采购事项有疑问的，可以向采购人提出询问。</w:t>
      </w:r>
    </w:p>
    <w:p>
      <w:pPr>
        <w:ind w:firstLine="480" w:firstLineChars="200"/>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pPr>
        <w:ind w:firstLine="480" w:firstLineChars="200"/>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1.3采购人或采购人将在收到书面质疑后7个工作日内审查质疑事项，做出答复或相关处理决定，并以书面形式通知质疑投标人学院采购管理的上一级部门审查。</w:t>
      </w:r>
    </w:p>
    <w:p>
      <w:pPr>
        <w:ind w:firstLine="480" w:firstLineChars="200"/>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pPr>
        <w:pStyle w:val="14"/>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七、保密和披露</w:t>
      </w:r>
    </w:p>
    <w:p>
      <w:pPr>
        <w:ind w:firstLine="480" w:firstLineChars="200"/>
        <w:rPr>
          <w:rFonts w:ascii="宋体" w:hAnsi="宋体"/>
          <w:sz w:val="24"/>
        </w:rPr>
      </w:pPr>
      <w:r>
        <w:rPr>
          <w:rFonts w:hint="eastAsia" w:ascii="宋体" w:hAnsi="宋体"/>
          <w:sz w:val="24"/>
        </w:rPr>
        <w:t>1.保密和披露</w:t>
      </w:r>
    </w:p>
    <w:p>
      <w:pPr>
        <w:ind w:firstLine="480" w:firstLineChars="200"/>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pPr>
        <w:ind w:firstLine="480" w:firstLineChars="200"/>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pPr>
        <w:ind w:firstLine="480" w:firstLineChars="200"/>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pPr>
        <w:pStyle w:val="14"/>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八、无效标书的判定</w:t>
      </w:r>
    </w:p>
    <w:p>
      <w:pPr>
        <w:ind w:firstLine="480" w:firstLineChars="200"/>
        <w:rPr>
          <w:rFonts w:ascii="宋体" w:hAnsi="宋体"/>
          <w:sz w:val="24"/>
        </w:rPr>
      </w:pPr>
      <w:r>
        <w:rPr>
          <w:rFonts w:hint="eastAsia" w:ascii="宋体" w:hAnsi="宋体"/>
          <w:sz w:val="24"/>
        </w:rPr>
        <w:t>投标文件有下列情况之一的，应作为无效投标文件，不再参加评标：</w:t>
      </w:r>
    </w:p>
    <w:p>
      <w:pPr>
        <w:ind w:firstLine="480" w:firstLineChars="200"/>
        <w:rPr>
          <w:rFonts w:ascii="宋体" w:hAnsi="宋体"/>
          <w:sz w:val="24"/>
        </w:rPr>
      </w:pPr>
      <w:r>
        <w:rPr>
          <w:rFonts w:hint="eastAsia" w:ascii="宋体" w:hAnsi="宋体"/>
          <w:sz w:val="24"/>
        </w:rPr>
        <w:t>1.投标文件中的投标函未加盖投标人的公章的，或者企业法定代表人委托代理人没有合法、有效的委托书（原件）或委托书无委托代理人签字或印章的。</w:t>
      </w:r>
    </w:p>
    <w:p>
      <w:pPr>
        <w:ind w:firstLine="480" w:firstLineChars="200"/>
        <w:rPr>
          <w:rFonts w:ascii="宋体" w:hAnsi="宋体"/>
          <w:sz w:val="24"/>
        </w:rPr>
      </w:pPr>
      <w:r>
        <w:rPr>
          <w:rFonts w:hint="eastAsia" w:ascii="宋体" w:hAnsi="宋体"/>
          <w:sz w:val="24"/>
        </w:rPr>
        <w:t>2.未按采购文件要求要求缴纳相关费用的。</w:t>
      </w:r>
    </w:p>
    <w:p>
      <w:pPr>
        <w:ind w:firstLine="480" w:firstLineChars="200"/>
        <w:rPr>
          <w:rFonts w:ascii="宋体" w:hAnsi="宋体"/>
          <w:sz w:val="24"/>
        </w:rPr>
      </w:pPr>
      <w:r>
        <w:rPr>
          <w:rFonts w:hint="eastAsia" w:ascii="宋体" w:hAnsi="宋体"/>
          <w:sz w:val="24"/>
        </w:rPr>
        <w:t>3.未按采购文件要求编制，内容不全或关键字模糊、无法辨认的。</w:t>
      </w:r>
    </w:p>
    <w:p>
      <w:pPr>
        <w:ind w:firstLine="480" w:firstLineChars="200"/>
        <w:rPr>
          <w:rFonts w:ascii="宋体" w:hAnsi="宋体"/>
          <w:sz w:val="24"/>
        </w:rPr>
      </w:pPr>
      <w:r>
        <w:rPr>
          <w:rFonts w:hint="eastAsia" w:ascii="宋体" w:hAnsi="宋体"/>
          <w:sz w:val="24"/>
        </w:rPr>
        <w:t>4.投标人名称或组织机构等与原件不一致的。</w:t>
      </w:r>
    </w:p>
    <w:p>
      <w:pPr>
        <w:ind w:firstLine="480" w:firstLineChars="200"/>
        <w:rPr>
          <w:rFonts w:ascii="宋体" w:hAnsi="宋体"/>
          <w:sz w:val="24"/>
        </w:rPr>
      </w:pPr>
      <w:r>
        <w:rPr>
          <w:rFonts w:hint="eastAsia" w:ascii="宋体" w:hAnsi="宋体"/>
          <w:sz w:val="24"/>
        </w:rPr>
        <w:t>5.投标人资格条件不符合国家有关规定或采购文件要求的。</w:t>
      </w:r>
    </w:p>
    <w:p>
      <w:pPr>
        <w:ind w:firstLine="480" w:firstLineChars="200"/>
        <w:rPr>
          <w:rFonts w:ascii="宋体" w:hAnsi="宋体"/>
          <w:sz w:val="24"/>
        </w:rPr>
      </w:pPr>
      <w:r>
        <w:rPr>
          <w:rFonts w:hint="eastAsia" w:ascii="宋体" w:hAnsi="宋体"/>
          <w:sz w:val="24"/>
        </w:rPr>
        <w:t>6.投标文件载明的项目完成期限超过采购文件规定的期限。</w:t>
      </w:r>
    </w:p>
    <w:p>
      <w:pPr>
        <w:ind w:firstLine="480" w:firstLineChars="200"/>
        <w:rPr>
          <w:rFonts w:ascii="宋体" w:hAnsi="宋体"/>
          <w:sz w:val="24"/>
        </w:rPr>
      </w:pPr>
      <w:r>
        <w:rPr>
          <w:rFonts w:hint="eastAsia" w:ascii="宋体" w:hAnsi="宋体"/>
          <w:sz w:val="24"/>
        </w:rPr>
        <w:t>7.明显不符合技术规范、技术标准的要求。</w:t>
      </w:r>
    </w:p>
    <w:p>
      <w:pPr>
        <w:ind w:firstLine="480" w:firstLineChars="200"/>
        <w:rPr>
          <w:rFonts w:ascii="宋体" w:hAnsi="宋体"/>
          <w:sz w:val="24"/>
        </w:rPr>
      </w:pPr>
      <w:r>
        <w:rPr>
          <w:rFonts w:hint="eastAsia" w:ascii="宋体" w:hAnsi="宋体"/>
          <w:sz w:val="24"/>
        </w:rPr>
        <w:t>8.投标报价超过采购文件规定的采购控制价的。</w:t>
      </w:r>
    </w:p>
    <w:p>
      <w:pPr>
        <w:ind w:firstLine="480" w:firstLineChars="200"/>
        <w:rPr>
          <w:rFonts w:ascii="宋体" w:hAnsi="宋体"/>
          <w:sz w:val="24"/>
        </w:rPr>
      </w:pPr>
      <w:r>
        <w:rPr>
          <w:rFonts w:hint="eastAsia" w:ascii="宋体" w:hAnsi="宋体"/>
          <w:sz w:val="24"/>
        </w:rPr>
        <w:t>9.不同投标人的投标文件出现了评标小组认为不应当雷同的情况。</w:t>
      </w:r>
    </w:p>
    <w:p>
      <w:pPr>
        <w:ind w:firstLine="480" w:firstLineChars="200"/>
        <w:rPr>
          <w:rFonts w:ascii="宋体" w:hAnsi="宋体"/>
          <w:sz w:val="24"/>
        </w:rPr>
      </w:pPr>
      <w:r>
        <w:rPr>
          <w:rFonts w:hint="eastAsia" w:ascii="宋体" w:hAnsi="宋体"/>
          <w:sz w:val="24"/>
        </w:rPr>
        <w:t>10.投标文件提出了不能满足采购文件要求或采购人不能接受的支付办法。</w:t>
      </w:r>
    </w:p>
    <w:p>
      <w:pPr>
        <w:ind w:firstLine="480" w:firstLineChars="200"/>
        <w:rPr>
          <w:rFonts w:ascii="宋体" w:hAnsi="宋体"/>
          <w:sz w:val="24"/>
        </w:rPr>
      </w:pPr>
      <w:r>
        <w:rPr>
          <w:rFonts w:hint="eastAsia" w:ascii="宋体" w:hAnsi="宋体"/>
          <w:sz w:val="24"/>
        </w:rPr>
        <w:t>11.串通投标、以行贿手段谋取中标或者以其他弄虚作假方式投标的。</w:t>
      </w:r>
    </w:p>
    <w:p>
      <w:pPr>
        <w:ind w:left="480"/>
        <w:rPr>
          <w:rFonts w:ascii="宋体" w:hAnsi="宋体"/>
          <w:sz w:val="24"/>
        </w:rPr>
      </w:pPr>
      <w:r>
        <w:rPr>
          <w:rFonts w:hint="eastAsia" w:ascii="宋体" w:hAnsi="宋体"/>
          <w:sz w:val="24"/>
        </w:rPr>
        <w:t>12.经评标小组认定投标人的投标报价低于成本价的。</w:t>
      </w:r>
    </w:p>
    <w:p>
      <w:pPr>
        <w:ind w:left="480"/>
        <w:jc w:val="center"/>
        <w:rPr>
          <w:b/>
          <w:bCs/>
          <w:sz w:val="32"/>
          <w:szCs w:val="32"/>
        </w:rPr>
      </w:pPr>
      <w:r>
        <w:rPr>
          <w:rFonts w:ascii="宋体" w:hAnsi="宋体"/>
          <w:sz w:val="24"/>
          <w:u w:val="single"/>
        </w:rPr>
        <w:br w:type="page"/>
      </w:r>
      <w:r>
        <w:rPr>
          <w:rFonts w:hint="eastAsia"/>
          <w:b/>
          <w:bCs/>
          <w:sz w:val="32"/>
          <w:szCs w:val="32"/>
        </w:rPr>
        <w:t>第二章  项目概况及要求</w:t>
      </w:r>
    </w:p>
    <w:p>
      <w:pPr>
        <w:ind w:firstLine="480" w:firstLineChars="200"/>
        <w:rPr>
          <w:rFonts w:hint="eastAsia" w:eastAsia="宋体"/>
          <w:sz w:val="24"/>
          <w:lang w:eastAsia="zh-CN"/>
        </w:rPr>
      </w:pPr>
      <w:r>
        <w:rPr>
          <w:rFonts w:hint="eastAsia"/>
          <w:sz w:val="24"/>
        </w:rPr>
        <w:t>本项目为江苏师范大学科文学院潘安湖校区项目</w:t>
      </w:r>
      <w:r>
        <w:rPr>
          <w:rFonts w:hint="eastAsia"/>
          <w:sz w:val="24"/>
          <w:lang w:eastAsia="zh-CN"/>
        </w:rPr>
        <w:t>，</w:t>
      </w:r>
      <w:r>
        <w:rPr>
          <w:rFonts w:hint="eastAsia"/>
          <w:sz w:val="24"/>
          <w:lang w:val="en-US" w:eastAsia="zh-CN"/>
        </w:rPr>
        <w:t>用于我院</w:t>
      </w:r>
      <w:r>
        <w:rPr>
          <w:rFonts w:hint="eastAsia"/>
          <w:sz w:val="24"/>
        </w:rPr>
        <w:t>虚拟演播室与实景影棚拍摄实训实验室</w:t>
      </w:r>
      <w:r>
        <w:rPr>
          <w:rFonts w:hint="eastAsia"/>
          <w:sz w:val="24"/>
          <w:lang w:val="en-US" w:eastAsia="zh-CN"/>
        </w:rPr>
        <w:t>建设</w:t>
      </w:r>
      <w:r>
        <w:rPr>
          <w:rFonts w:hint="eastAsia"/>
          <w:sz w:val="24"/>
          <w:lang w:eastAsia="zh-CN"/>
        </w:rPr>
        <w:t>。</w:t>
      </w:r>
    </w:p>
    <w:p>
      <w:pPr>
        <w:pStyle w:val="15"/>
        <w:numPr>
          <w:ilvl w:val="0"/>
          <w:numId w:val="0"/>
        </w:numPr>
        <w:tabs>
          <w:tab w:val="left" w:pos="0"/>
        </w:tabs>
        <w:spacing w:line="340" w:lineRule="exact"/>
        <w:ind w:left="709" w:hanging="709"/>
        <w:rPr>
          <w:rFonts w:cs="华文楷体"/>
          <w:b/>
          <w:color w:val="000000"/>
          <w:sz w:val="24"/>
          <w:szCs w:val="24"/>
        </w:rPr>
      </w:pPr>
      <w:r>
        <w:rPr>
          <w:rFonts w:hint="eastAsia" w:cs="华文楷体"/>
          <w:b/>
          <w:color w:val="000000"/>
          <w:sz w:val="24"/>
          <w:szCs w:val="24"/>
        </w:rPr>
        <w:t>一、技术要求：</w:t>
      </w:r>
    </w:p>
    <w:tbl>
      <w:tblPr>
        <w:tblStyle w:val="10"/>
        <w:tblW w:w="94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366"/>
        <w:gridCol w:w="6014"/>
        <w:gridCol w:w="552"/>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672" w:type="dxa"/>
            <w:tcBorders>
              <w:tl2br w:val="nil"/>
              <w:tr2bl w:val="nil"/>
            </w:tcBorders>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366" w:type="dxa"/>
            <w:tcBorders>
              <w:tl2br w:val="nil"/>
              <w:tr2bl w:val="nil"/>
            </w:tcBorders>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产品名称</w:t>
            </w:r>
          </w:p>
        </w:tc>
        <w:tc>
          <w:tcPr>
            <w:tcW w:w="6014" w:type="dxa"/>
            <w:tcBorders>
              <w:tl2br w:val="nil"/>
              <w:tr2bl w:val="nil"/>
            </w:tcBorders>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技术规格及要求</w:t>
            </w:r>
          </w:p>
        </w:tc>
        <w:tc>
          <w:tcPr>
            <w:tcW w:w="552" w:type="dxa"/>
            <w:tcBorders>
              <w:tl2br w:val="nil"/>
              <w:tr2bl w:val="nil"/>
            </w:tcBorders>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840" w:type="dxa"/>
            <w:tcBorders>
              <w:tl2br w:val="nil"/>
              <w:tr2bl w:val="nil"/>
            </w:tcBorders>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电影镜头</w:t>
            </w:r>
          </w:p>
        </w:tc>
        <w:tc>
          <w:tcPr>
            <w:tcW w:w="6014" w:type="dxa"/>
            <w:tcBorders>
              <w:tl2br w:val="nil"/>
              <w:tr2bl w:val="nil"/>
            </w:tcBorders>
            <w:noWrap/>
            <w:vAlign w:val="center"/>
          </w:tcPr>
          <w:p>
            <w:pPr>
              <w:widowControl/>
              <w:numPr>
                <w:ilvl w:val="0"/>
                <w:numId w:val="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全画幅定焦电影镜头 6支</w:t>
            </w:r>
          </w:p>
          <w:p>
            <w:pPr>
              <w:widowControl/>
              <w:numPr>
                <w:ilvl w:val="0"/>
                <w:numId w:val="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EF卡口</w:t>
            </w:r>
          </w:p>
          <w:p>
            <w:pPr>
              <w:widowControl/>
              <w:numPr>
                <w:ilvl w:val="0"/>
                <w:numId w:val="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全套包含</w:t>
            </w:r>
            <w:r>
              <w:rPr>
                <w:rFonts w:asciiTheme="minorEastAsia" w:hAnsiTheme="minorEastAsia" w:eastAsiaTheme="minorEastAsia"/>
                <w:color w:val="000000" w:themeColor="text1"/>
                <w:sz w:val="24"/>
                <w14:textFill>
                  <w14:solidFill>
                    <w14:schemeClr w14:val="tx1"/>
                  </w14:solidFill>
                </w14:textFill>
              </w:rPr>
              <w:t>24/35/50/75/100/125</w:t>
            </w:r>
            <w:r>
              <w:rPr>
                <w:rFonts w:hint="eastAsia" w:asciiTheme="minorEastAsia" w:hAnsiTheme="minorEastAsia" w:eastAsiaTheme="minorEastAsia"/>
                <w:color w:val="000000" w:themeColor="text1"/>
                <w:sz w:val="24"/>
                <w14:textFill>
                  <w14:solidFill>
                    <w14:schemeClr w14:val="tx1"/>
                  </w14:solidFill>
                </w14:textFill>
              </w:rPr>
              <w:t>mm共</w:t>
            </w: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种焦段</w:t>
            </w:r>
          </w:p>
          <w:p>
            <w:pPr>
              <w:widowControl/>
              <w:numPr>
                <w:ilvl w:val="0"/>
                <w:numId w:val="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画幅：全画幅</w:t>
            </w:r>
          </w:p>
          <w:p>
            <w:pPr>
              <w:pStyle w:val="5"/>
              <w:numPr>
                <w:ilvl w:val="0"/>
                <w:numId w:val="5"/>
              </w:num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最大光圈：T2.2</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镜头滤镜</w:t>
            </w:r>
          </w:p>
        </w:tc>
        <w:tc>
          <w:tcPr>
            <w:tcW w:w="6014" w:type="dxa"/>
            <w:tcBorders>
              <w:tl2br w:val="nil"/>
              <w:tr2bl w:val="nil"/>
            </w:tcBorders>
            <w:noWrap/>
            <w:vAlign w:val="center"/>
          </w:tcPr>
          <w:p>
            <w:pPr>
              <w:widowControl/>
              <w:numPr>
                <w:ilvl w:val="0"/>
                <w:numId w:val="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镜头后置滤镜</w:t>
            </w:r>
          </w:p>
          <w:p>
            <w:pPr>
              <w:widowControl/>
              <w:numPr>
                <w:ilvl w:val="0"/>
                <w:numId w:val="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包含</w:t>
            </w:r>
            <w:r>
              <w:rPr>
                <w:rFonts w:asciiTheme="minorEastAsia" w:hAnsiTheme="minorEastAsia" w:eastAsiaTheme="minorEastAsia"/>
                <w:color w:val="000000" w:themeColor="text1"/>
                <w:sz w:val="24"/>
                <w14:textFill>
                  <w14:solidFill>
                    <w14:schemeClr w14:val="tx1"/>
                  </w14:solidFill>
                </w14:textFill>
              </w:rPr>
              <w:t>ND</w:t>
            </w:r>
            <w:r>
              <w:rPr>
                <w:rFonts w:hint="eastAsia" w:asciiTheme="minorEastAsia" w:hAnsiTheme="minorEastAsia" w:eastAsiaTheme="minorEastAsia"/>
                <w:color w:val="000000" w:themeColor="text1"/>
                <w:sz w:val="24"/>
                <w14:textFill>
                  <w14:solidFill>
                    <w14:schemeClr w14:val="tx1"/>
                  </w14:solidFill>
                </w14:textFill>
              </w:rPr>
              <w:t>滤镜</w:t>
            </w:r>
            <w:r>
              <w:rPr>
                <w:rFonts w:asciiTheme="minorEastAsia" w:hAnsiTheme="minorEastAsia" w:eastAsiaTheme="minorEastAsia"/>
                <w:color w:val="000000" w:themeColor="text1"/>
                <w:sz w:val="24"/>
                <w14:textFill>
                  <w14:solidFill>
                    <w14:schemeClr w14:val="tx1"/>
                  </w14:solidFill>
                </w14:textFill>
              </w:rPr>
              <w:t>0.6/0.9/1.2，</w:t>
            </w:r>
            <w:r>
              <w:rPr>
                <w:rFonts w:hint="eastAsia" w:asciiTheme="minorEastAsia" w:hAnsiTheme="minorEastAsia" w:eastAsiaTheme="minorEastAsia"/>
                <w:color w:val="000000" w:themeColor="text1"/>
                <w:sz w:val="24"/>
                <w14:textFill>
                  <w14:solidFill>
                    <w14:schemeClr w14:val="tx1"/>
                  </w14:solidFill>
                </w14:textFill>
              </w:rPr>
              <w:t>黑柔滤镜</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特效滤镜</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镜头太空箱</w:t>
            </w:r>
          </w:p>
        </w:tc>
        <w:tc>
          <w:tcPr>
            <w:tcW w:w="6014" w:type="dxa"/>
            <w:tcBorders>
              <w:tl2br w:val="nil"/>
              <w:tr2bl w:val="nil"/>
            </w:tcBorders>
            <w:noWrap/>
            <w:vAlign w:val="center"/>
          </w:tcPr>
          <w:p>
            <w:pPr>
              <w:widowControl/>
              <w:numPr>
                <w:ilvl w:val="0"/>
                <w:numId w:val="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电影镜头设备</w:t>
            </w:r>
            <w:r>
              <w:rPr>
                <w:rFonts w:hint="eastAsia" w:asciiTheme="minorEastAsia" w:hAnsiTheme="minorEastAsia" w:eastAsiaTheme="minorEastAsia"/>
                <w:color w:val="000000" w:themeColor="text1"/>
                <w:sz w:val="24"/>
                <w14:textFill>
                  <w14:solidFill>
                    <w14:schemeClr w14:val="tx1"/>
                  </w14:solidFill>
                </w14:textFill>
              </w:rPr>
              <w:t>收纳</w:t>
            </w:r>
            <w:r>
              <w:rPr>
                <w:rFonts w:asciiTheme="minorEastAsia" w:hAnsiTheme="minorEastAsia" w:eastAsiaTheme="minorEastAsia"/>
                <w:color w:val="000000" w:themeColor="text1"/>
                <w:sz w:val="24"/>
                <w14:textFill>
                  <w14:solidFill>
                    <w14:schemeClr w14:val="tx1"/>
                  </w14:solidFill>
                </w14:textFill>
              </w:rPr>
              <w:t>定制航空安全防护防潮箱</w:t>
            </w:r>
          </w:p>
          <w:p>
            <w:pPr>
              <w:widowControl/>
              <w:numPr>
                <w:ilvl w:val="0"/>
                <w:numId w:val="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性能包涵</w:t>
            </w:r>
            <w:r>
              <w:rPr>
                <w:rFonts w:asciiTheme="minorEastAsia" w:hAnsiTheme="minorEastAsia" w:eastAsiaTheme="minorEastAsia"/>
                <w:color w:val="000000" w:themeColor="text1"/>
                <w:sz w:val="24"/>
                <w14:textFill>
                  <w14:solidFill>
                    <w14:schemeClr w14:val="tx1"/>
                  </w14:solidFill>
                </w14:textFill>
              </w:rPr>
              <w:t>超轻、防水、防潮</w:t>
            </w:r>
          </w:p>
          <w:p>
            <w:pPr>
              <w:widowControl/>
              <w:numPr>
                <w:ilvl w:val="0"/>
                <w:numId w:val="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可以</w:t>
            </w:r>
            <w:r>
              <w:rPr>
                <w:rFonts w:asciiTheme="minorEastAsia" w:hAnsiTheme="minorEastAsia" w:eastAsiaTheme="minorEastAsia"/>
                <w:color w:val="000000" w:themeColor="text1"/>
                <w:sz w:val="24"/>
                <w14:textFill>
                  <w14:solidFill>
                    <w14:schemeClr w14:val="tx1"/>
                  </w14:solidFill>
                </w14:textFill>
              </w:rPr>
              <w:t>航空托运</w:t>
            </w:r>
          </w:p>
          <w:p>
            <w:pPr>
              <w:widowControl/>
              <w:numPr>
                <w:ilvl w:val="0"/>
                <w:numId w:val="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内带</w:t>
            </w:r>
            <w:r>
              <w:rPr>
                <w:rFonts w:asciiTheme="minorEastAsia" w:hAnsiTheme="minorEastAsia" w:eastAsiaTheme="minorEastAsia"/>
                <w:color w:val="000000" w:themeColor="text1"/>
                <w:sz w:val="24"/>
                <w14:textFill>
                  <w14:solidFill>
                    <w14:schemeClr w14:val="tx1"/>
                  </w14:solidFill>
                </w14:textFill>
              </w:rPr>
              <w:t>TP隔断</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摄影配件</w:t>
            </w:r>
          </w:p>
        </w:tc>
        <w:tc>
          <w:tcPr>
            <w:tcW w:w="6014" w:type="dxa"/>
            <w:tcBorders>
              <w:tl2br w:val="nil"/>
              <w:tr2bl w:val="nil"/>
            </w:tcBorders>
            <w:noWrap/>
            <w:vAlign w:val="center"/>
          </w:tcPr>
          <w:p>
            <w:pPr>
              <w:widowControl/>
              <w:numPr>
                <w:ilvl w:val="0"/>
                <w:numId w:val="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适用</w:t>
            </w:r>
            <w:r>
              <w:rPr>
                <w:rFonts w:asciiTheme="minorEastAsia" w:hAnsiTheme="minorEastAsia" w:eastAsiaTheme="minorEastAsia"/>
                <w:color w:val="000000" w:themeColor="text1"/>
                <w:sz w:val="24"/>
                <w14:textFill>
                  <w14:solidFill>
                    <w14:schemeClr w14:val="tx1"/>
                  </w14:solidFill>
                </w14:textFill>
              </w:rPr>
              <w:t>Dolly影视轨道车</w:t>
            </w:r>
            <w:r>
              <w:rPr>
                <w:rFonts w:hint="eastAsia" w:asciiTheme="minorEastAsia" w:hAnsiTheme="minorEastAsia" w:eastAsiaTheme="minorEastAsia"/>
                <w:color w:val="000000" w:themeColor="text1"/>
                <w:sz w:val="24"/>
                <w14:textFill>
                  <w14:solidFill>
                    <w14:schemeClr w14:val="tx1"/>
                  </w14:solidFill>
                </w14:textFill>
              </w:rPr>
              <w:t>可用</w:t>
            </w:r>
          </w:p>
          <w:p>
            <w:pPr>
              <w:widowControl/>
              <w:numPr>
                <w:ilvl w:val="0"/>
                <w:numId w:val="8"/>
              </w:numPr>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1.6米</w:t>
            </w:r>
          </w:p>
          <w:p>
            <w:pPr>
              <w:widowControl/>
              <w:numPr>
                <w:ilvl w:val="0"/>
                <w:numId w:val="8"/>
              </w:numPr>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直轨</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摄影配件</w:t>
            </w:r>
          </w:p>
        </w:tc>
        <w:tc>
          <w:tcPr>
            <w:tcW w:w="6014" w:type="dxa"/>
            <w:tcBorders>
              <w:tl2br w:val="nil"/>
              <w:tr2bl w:val="nil"/>
            </w:tcBorders>
            <w:noWrap/>
            <w:vAlign w:val="center"/>
          </w:tcPr>
          <w:p>
            <w:pPr>
              <w:widowControl/>
              <w:numPr>
                <w:ilvl w:val="0"/>
                <w:numId w:val="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适用Dolly影视轨道车可用</w:t>
            </w:r>
          </w:p>
          <w:p>
            <w:pPr>
              <w:widowControl/>
              <w:numPr>
                <w:ilvl w:val="0"/>
                <w:numId w:val="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米</w:t>
            </w:r>
          </w:p>
          <w:p>
            <w:pPr>
              <w:widowControl/>
              <w:numPr>
                <w:ilvl w:val="0"/>
                <w:numId w:val="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弯轨</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摄影配件</w:t>
            </w:r>
          </w:p>
        </w:tc>
        <w:tc>
          <w:tcPr>
            <w:tcW w:w="6014" w:type="dxa"/>
            <w:tcBorders>
              <w:tl2br w:val="nil"/>
              <w:tr2bl w:val="nil"/>
            </w:tcBorders>
            <w:noWrap/>
            <w:vAlign w:val="center"/>
          </w:tcPr>
          <w:p>
            <w:pPr>
              <w:widowControl/>
              <w:numPr>
                <w:ilvl w:val="0"/>
                <w:numId w:val="1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折叠小推车</w:t>
            </w:r>
          </w:p>
          <w:p>
            <w:pPr>
              <w:widowControl/>
              <w:numPr>
                <w:ilvl w:val="0"/>
                <w:numId w:val="1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车架材质：钢</w:t>
            </w:r>
          </w:p>
          <w:p>
            <w:pPr>
              <w:widowControl/>
              <w:numPr>
                <w:ilvl w:val="0"/>
                <w:numId w:val="1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车身容量：200L以上</w:t>
            </w:r>
          </w:p>
          <w:p>
            <w:pPr>
              <w:widowControl/>
              <w:numPr>
                <w:ilvl w:val="0"/>
                <w:numId w:val="1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折叠方式：四面聚拢</w:t>
            </w:r>
          </w:p>
          <w:p>
            <w:pPr>
              <w:widowControl/>
              <w:numPr>
                <w:ilvl w:val="0"/>
                <w:numId w:val="1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车轮有轴承</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三脚架</w:t>
            </w:r>
          </w:p>
        </w:tc>
        <w:tc>
          <w:tcPr>
            <w:tcW w:w="6014" w:type="dxa"/>
            <w:tcBorders>
              <w:tl2br w:val="nil"/>
              <w:tr2bl w:val="nil"/>
            </w:tcBorders>
            <w:noWrap/>
            <w:vAlign w:val="center"/>
          </w:tcPr>
          <w:p>
            <w:pPr>
              <w:widowControl/>
              <w:numPr>
                <w:ilvl w:val="0"/>
                <w:numId w:val="1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包含高、中、低</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个电影级三脚架</w:t>
            </w:r>
          </w:p>
          <w:p>
            <w:pPr>
              <w:widowControl/>
              <w:numPr>
                <w:ilvl w:val="0"/>
                <w:numId w:val="1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材质：铝合金</w:t>
            </w:r>
          </w:p>
          <w:p>
            <w:pPr>
              <w:widowControl/>
              <w:numPr>
                <w:ilvl w:val="0"/>
                <w:numId w:val="1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商品承重：20kg及以上</w:t>
            </w:r>
          </w:p>
          <w:p>
            <w:pPr>
              <w:pStyle w:val="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4、云台100mm碗口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8</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云台</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1、商品承重：20kg及以上</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2、云台100mm碗口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9</w:t>
            </w:r>
          </w:p>
        </w:tc>
        <w:tc>
          <w:tcPr>
            <w:tcW w:w="1366" w:type="dxa"/>
            <w:tcBorders>
              <w:tl2br w:val="nil"/>
              <w:tr2bl w:val="nil"/>
            </w:tcBorders>
            <w:noWrap/>
            <w:vAlign w:val="center"/>
          </w:tcPr>
          <w:p>
            <w:pPr>
              <w:widowControl/>
              <w:ind w:firstLine="240" w:firstLineChars="100"/>
              <w:jc w:val="left"/>
              <w:textAlignment w:val="center"/>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苹果箱</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1、带四合一功能</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2、带磁吸功能</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numPr>
                <w:ilvl w:val="0"/>
                <w:numId w:val="1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摄像机多功能顶板</w:t>
            </w:r>
          </w:p>
          <w:p>
            <w:pPr>
              <w:widowControl/>
              <w:numPr>
                <w:ilvl w:val="0"/>
                <w:numId w:val="1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适配索尼fx</w:t>
            </w:r>
            <w:r>
              <w:rPr>
                <w:rFonts w:asciiTheme="minorEastAsia" w:hAnsiTheme="minorEastAsia" w:eastAsiaTheme="minorEastAsia"/>
                <w:color w:val="000000" w:themeColor="text1"/>
                <w:sz w:val="24"/>
                <w14:textFill>
                  <w14:solidFill>
                    <w14:schemeClr w14:val="tx1"/>
                  </w14:solidFill>
                </w14:textFill>
              </w:rPr>
              <w:t>6</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11</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numPr>
                <w:ilvl w:val="0"/>
                <w:numId w:val="1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摄像机全能型肩架</w:t>
            </w:r>
          </w:p>
          <w:p>
            <w:pPr>
              <w:widowControl/>
              <w:numPr>
                <w:ilvl w:val="0"/>
                <w:numId w:val="1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适配索尼fx</w:t>
            </w:r>
            <w:r>
              <w:rPr>
                <w:rFonts w:asciiTheme="minorEastAsia" w:hAnsiTheme="minorEastAsia" w:eastAsiaTheme="minorEastAsia"/>
                <w:color w:val="000000" w:themeColor="text1"/>
                <w:sz w:val="24"/>
                <w14:textFill>
                  <w14:solidFill>
                    <w14:schemeClr w14:val="tx1"/>
                  </w14:solidFill>
                </w14:textFill>
              </w:rPr>
              <w:t>6</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12</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150mm导轨</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13</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200mm导轨</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14</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遮光斗套装</w:t>
            </w:r>
          </w:p>
        </w:tc>
        <w:tc>
          <w:tcPr>
            <w:tcW w:w="6014" w:type="dxa"/>
            <w:tcBorders>
              <w:tl2br w:val="nil"/>
              <w:tr2bl w:val="nil"/>
            </w:tcBorders>
            <w:noWrap/>
            <w:vAlign w:val="center"/>
          </w:tcPr>
          <w:p>
            <w:pPr>
              <w:widowControl/>
              <w:numPr>
                <w:ilvl w:val="0"/>
                <w:numId w:val="1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功能包括</w:t>
            </w:r>
            <w:r>
              <w:rPr>
                <w:rFonts w:asciiTheme="minorEastAsia" w:hAnsiTheme="minorEastAsia" w:eastAsiaTheme="minorEastAsia"/>
                <w:color w:val="000000" w:themeColor="text1"/>
                <w:sz w:val="24"/>
                <w14:textFill>
                  <w14:solidFill>
                    <w14:schemeClr w14:val="tx1"/>
                  </w14:solidFill>
                </w14:textFill>
              </w:rPr>
              <w:t>：</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0.3-2.7档可变ND</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专用无线马达控制</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采用无线控制</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15</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无线跟焦器套装</w:t>
            </w:r>
          </w:p>
        </w:tc>
        <w:tc>
          <w:tcPr>
            <w:tcW w:w="6014" w:type="dxa"/>
            <w:tcBorders>
              <w:tl2br w:val="nil"/>
              <w:tr2bl w:val="nil"/>
            </w:tcBorders>
            <w:noWrap/>
            <w:vAlign w:val="center"/>
          </w:tcPr>
          <w:p>
            <w:pPr>
              <w:widowControl/>
              <w:numPr>
                <w:ilvl w:val="0"/>
                <w:numId w:val="1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可三个马达串联, 聚焦·变焦·光圈，三通道一起使用</w:t>
            </w:r>
          </w:p>
          <w:p>
            <w:pPr>
              <w:widowControl/>
              <w:numPr>
                <w:ilvl w:val="0"/>
                <w:numId w:val="1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H-M-L (高中低频段)的发射和接收端覆盖</w:t>
            </w:r>
          </w:p>
          <w:p>
            <w:pPr>
              <w:widowControl/>
              <w:numPr>
                <w:ilvl w:val="0"/>
                <w:numId w:val="1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通讯距离：300m-500m</w:t>
            </w:r>
          </w:p>
          <w:p>
            <w:pPr>
              <w:pStyle w:val="5"/>
              <w:numPr>
                <w:ilvl w:val="0"/>
                <w:numId w:val="15"/>
              </w:num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包含左右手柄</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16</w:t>
            </w:r>
          </w:p>
        </w:tc>
        <w:tc>
          <w:tcPr>
            <w:tcW w:w="1366"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轻型跟焦器</w:t>
            </w:r>
          </w:p>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p>
        </w:tc>
        <w:tc>
          <w:tcPr>
            <w:tcW w:w="6014" w:type="dxa"/>
            <w:tcBorders>
              <w:tl2br w:val="nil"/>
              <w:tr2bl w:val="nil"/>
            </w:tcBorders>
            <w:noWrap/>
            <w:vAlign w:val="center"/>
          </w:tcPr>
          <w:p>
            <w:pPr>
              <w:widowControl/>
              <w:numPr>
                <w:ilvl w:val="0"/>
                <w:numId w:val="1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适配机型通用大部分摄影机</w:t>
            </w:r>
          </w:p>
          <w:p>
            <w:pPr>
              <w:pStyle w:val="5"/>
              <w:numPr>
                <w:ilvl w:val="0"/>
                <w:numId w:val="16"/>
              </w:num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导轨15*100mm</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17</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numPr>
                <w:ilvl w:val="0"/>
                <w:numId w:val="1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产品名称</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万向怪手</w:t>
            </w:r>
          </w:p>
          <w:p>
            <w:pPr>
              <w:widowControl/>
              <w:numPr>
                <w:ilvl w:val="0"/>
                <w:numId w:val="1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主要材质:铝合金</w:t>
            </w:r>
          </w:p>
          <w:p>
            <w:pPr>
              <w:widowControl/>
              <w:numPr>
                <w:ilvl w:val="0"/>
                <w:numId w:val="1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重承:4.5KG</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18</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numPr>
                <w:ilvl w:val="0"/>
                <w:numId w:val="1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摄影马鞍袋</w:t>
            </w:r>
          </w:p>
          <w:p>
            <w:pPr>
              <w:widowControl/>
              <w:numPr>
                <w:ilvl w:val="0"/>
                <w:numId w:val="1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支撑D罩杯</w:t>
            </w:r>
            <w:r>
              <w:rPr>
                <w:rFonts w:asciiTheme="minorEastAsia" w:hAnsiTheme="minorEastAsia" w:eastAsiaTheme="minorEastAsia"/>
                <w:color w:val="000000" w:themeColor="text1"/>
                <w:sz w:val="24"/>
                <w14:textFill>
                  <w14:solidFill>
                    <w14:schemeClr w14:val="tx1"/>
                  </w14:solidFill>
                </w14:textFill>
              </w:rPr>
              <w:t> </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19</w:t>
            </w:r>
          </w:p>
        </w:tc>
        <w:tc>
          <w:tcPr>
            <w:tcW w:w="1366" w:type="dxa"/>
            <w:tcBorders>
              <w:tl2br w:val="nil"/>
              <w:tr2bl w:val="nil"/>
            </w:tcBorders>
            <w:noWrap/>
            <w:vAlign w:val="center"/>
          </w:tcPr>
          <w:p>
            <w:pPr>
              <w:pStyle w:val="4"/>
              <w:numPr>
                <w:ilvl w:val="0"/>
                <w:numId w:val="0"/>
              </w:numPr>
              <w:shd w:val="clear" w:color="auto" w:fill="FFFFFF"/>
              <w:spacing w:before="0" w:after="0"/>
              <w:jc w:val="center"/>
              <w:rPr>
                <w:rFonts w:cs="宋体" w:asciiTheme="minorEastAsia" w:hAnsiTheme="minorEastAsia" w:eastAsiaTheme="minorEastAsia"/>
                <w:b w:val="0"/>
                <w:color w:val="000000" w:themeColor="text1"/>
                <w:kern w:val="2"/>
                <w:sz w:val="24"/>
                <w:szCs w:val="24"/>
                <w:lang w:bidi="ar"/>
                <w14:textFill>
                  <w14:solidFill>
                    <w14:schemeClr w14:val="tx1"/>
                  </w14:solidFill>
                </w14:textFill>
              </w:rPr>
            </w:pPr>
            <w:r>
              <w:rPr>
                <w:rFonts w:hint="eastAsia" w:cs="宋体" w:asciiTheme="minorEastAsia" w:hAnsiTheme="minorEastAsia" w:eastAsiaTheme="minorEastAsia"/>
                <w:b w:val="0"/>
                <w:color w:val="000000" w:themeColor="text1"/>
                <w:kern w:val="2"/>
                <w:sz w:val="24"/>
                <w:szCs w:val="24"/>
                <w14:textFill>
                  <w14:solidFill>
                    <w14:schemeClr w14:val="tx1"/>
                  </w14:solidFill>
                </w14:textFill>
              </w:rPr>
              <w:t>测光表</w:t>
            </w:r>
          </w:p>
        </w:tc>
        <w:tc>
          <w:tcPr>
            <w:tcW w:w="6014" w:type="dxa"/>
            <w:tcBorders>
              <w:tl2br w:val="nil"/>
              <w:tr2bl w:val="nil"/>
            </w:tcBorders>
            <w:noWrap/>
            <w:vAlign w:val="center"/>
          </w:tcPr>
          <w:p>
            <w:pPr>
              <w:widowControl/>
              <w:numPr>
                <w:ilvl w:val="0"/>
                <w:numId w:val="1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测光头可旋转</w:t>
            </w:r>
          </w:p>
          <w:p>
            <w:pPr>
              <w:widowControl/>
              <w:numPr>
                <w:ilvl w:val="0"/>
                <w:numId w:val="1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多种测光模式</w:t>
            </w:r>
          </w:p>
          <w:p>
            <w:pPr>
              <w:widowControl/>
              <w:numPr>
                <w:ilvl w:val="0"/>
                <w:numId w:val="1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LED显示屏</w:t>
            </w:r>
          </w:p>
          <w:p>
            <w:pPr>
              <w:widowControl/>
              <w:numPr>
                <w:ilvl w:val="0"/>
                <w:numId w:val="1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测量照度范围：0.1-2000000LX</w:t>
            </w:r>
          </w:p>
        </w:tc>
        <w:tc>
          <w:tcPr>
            <w:tcW w:w="55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20</w:t>
            </w:r>
          </w:p>
        </w:tc>
        <w:tc>
          <w:tcPr>
            <w:tcW w:w="1366"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录音机</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1、可拆卸话筒音头</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2、四个配置XLR/TRS复合接口</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3、内置低阻滤波器</w:t>
            </w:r>
          </w:p>
        </w:tc>
        <w:tc>
          <w:tcPr>
            <w:tcW w:w="55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p>
        </w:tc>
        <w:tc>
          <w:tcPr>
            <w:tcW w:w="1366"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录音附件</w:t>
            </w:r>
          </w:p>
        </w:tc>
        <w:tc>
          <w:tcPr>
            <w:tcW w:w="6014" w:type="dxa"/>
            <w:tcBorders>
              <w:tl2br w:val="nil"/>
              <w:tr2bl w:val="nil"/>
            </w:tcBorders>
            <w:noWrap/>
            <w:vAlign w:val="center"/>
          </w:tcPr>
          <w:p>
            <w:pPr>
              <w:widowControl/>
              <w:numPr>
                <w:ilvl w:val="0"/>
                <w:numId w:val="2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材质：碳纤维</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2、内含收纳包、话筒干套装</w:t>
            </w:r>
          </w:p>
        </w:tc>
        <w:tc>
          <w:tcPr>
            <w:tcW w:w="55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w:t>
            </w:r>
          </w:p>
        </w:tc>
        <w:tc>
          <w:tcPr>
            <w:tcW w:w="1366"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V扣电池</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1、电压：14.8V</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2、容量：18600mAh</w:t>
            </w:r>
          </w:p>
        </w:tc>
        <w:tc>
          <w:tcPr>
            <w:tcW w:w="55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V扣电池充电器</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1、输入:AC 100V-240V 50/60Hz</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2、充电输出:DC 14V-20V.1.9A</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3、适配输出:DC 13.8V,3.6A</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4、适用电池:S型电池( SONY )</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24</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移动电站</w:t>
            </w:r>
          </w:p>
        </w:tc>
        <w:tc>
          <w:tcPr>
            <w:tcW w:w="6014" w:type="dxa"/>
            <w:tcBorders>
              <w:tl2br w:val="nil"/>
              <w:tr2bl w:val="nil"/>
            </w:tcBorders>
            <w:noWrap/>
            <w:vAlign w:val="center"/>
          </w:tcPr>
          <w:p>
            <w:pPr>
              <w:widowControl/>
              <w:numPr>
                <w:ilvl w:val="0"/>
                <w:numId w:val="2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电池容量2160Wh(600000mAh/3.6V)</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2、电池类型鲤离子电池</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3、额定容量290000mAh(5V/3</w:t>
            </w:r>
            <w:r>
              <w:rPr>
                <w:rFonts w:asciiTheme="minorEastAsia" w:hAnsiTheme="minorEastAsia" w:eastAsiaTheme="minorEastAsia"/>
                <w:color w:val="000000" w:themeColor="text1"/>
                <w:sz w:val="24"/>
                <w14:textFill>
                  <w14:solidFill>
                    <w14:schemeClr w14:val="tx1"/>
                  </w14:solidFill>
                </w14:textFill>
              </w:rPr>
              <w:t>A)</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25</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防潮柜</w:t>
            </w:r>
          </w:p>
        </w:tc>
        <w:tc>
          <w:tcPr>
            <w:tcW w:w="6014" w:type="dxa"/>
            <w:tcBorders>
              <w:tl2br w:val="nil"/>
              <w:tr2bl w:val="nil"/>
            </w:tcBorders>
            <w:noWrap/>
            <w:vAlign w:val="center"/>
          </w:tcPr>
          <w:p>
            <w:pPr>
              <w:widowControl/>
              <w:numPr>
                <w:ilvl w:val="0"/>
                <w:numId w:val="2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显示方式:微电脑数控显示器</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2、输入电压:5VDC士10%</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3、温度显示范围:0°C~80°C</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4、湿度设置范围:259%6RH~60%RH</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5、箱体材质:钢板</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6、箱门材质:钢化玻璃</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26</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镜头转接环</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1、规格：PL-E</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2、材质：不锈钢卡口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27</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镜头转接环</w:t>
            </w:r>
          </w:p>
        </w:tc>
        <w:tc>
          <w:tcPr>
            <w:tcW w:w="6014" w:type="dxa"/>
            <w:tcBorders>
              <w:tl2br w:val="nil"/>
              <w:tr2bl w:val="nil"/>
            </w:tcBorders>
            <w:noWrap/>
            <w:vAlign w:val="center"/>
          </w:tcPr>
          <w:p>
            <w:pPr>
              <w:widowControl/>
              <w:numPr>
                <w:ilvl w:val="0"/>
                <w:numId w:val="2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规格：PL-EF</w:t>
            </w:r>
          </w:p>
          <w:p>
            <w:pPr>
              <w:pStyle w:val="5"/>
              <w:numPr>
                <w:ilvl w:val="0"/>
                <w:numId w:val="23"/>
              </w:num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材质：不锈钢卡口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28</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监视器</w:t>
            </w:r>
          </w:p>
        </w:tc>
        <w:tc>
          <w:tcPr>
            <w:tcW w:w="6014" w:type="dxa"/>
            <w:tcBorders>
              <w:tl2br w:val="nil"/>
              <w:tr2bl w:val="nil"/>
            </w:tcBorders>
            <w:noWrap/>
            <w:vAlign w:val="center"/>
          </w:tcPr>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屏幕尺寸21.5英寸</w:t>
            </w:r>
          </w:p>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物理分辨率1920x1080</w:t>
            </w:r>
          </w:p>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可视角度178°(HV)</w:t>
            </w:r>
          </w:p>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对比度1000:1</w:t>
            </w:r>
          </w:p>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亮度400cd/m2</w:t>
            </w:r>
          </w:p>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输入接口4x HDMI、2xBNC(SDI)、USB</w:t>
            </w:r>
          </w:p>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输出接口1xHDMI、1xBNC(SDI)</w:t>
            </w:r>
          </w:p>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耳机音频3.5mm立体声耳机口</w:t>
            </w:r>
          </w:p>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扬声器x2</w:t>
            </w:r>
          </w:p>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功耗26W</w:t>
            </w:r>
          </w:p>
          <w:p>
            <w:pPr>
              <w:widowControl/>
              <w:numPr>
                <w:ilvl w:val="0"/>
                <w:numId w:val="2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输出电压AC110-240V/DC12-24V</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29</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无线图传</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1、配备3 个接口，SDI 输入、HDMI 输入、HDMI环出接口，兼顾更多专业设备传输</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2、屏幕 Rec.709色域近乎全覆盖，视频显示色彩精准传神</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3、支持 2 个接收器或 4个 APP 同时监看</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30</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无线图传</w:t>
            </w:r>
          </w:p>
          <w:p>
            <w:pPr>
              <w:pStyle w:val="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接收端</w:t>
            </w:r>
            <w:r>
              <w:rPr>
                <w:rFonts w:asciiTheme="minorEastAsia" w:hAnsiTheme="minorEastAsia" w:eastAsiaTheme="minorEastAsia"/>
                <w:color w:val="000000" w:themeColor="text1"/>
                <w:sz w:val="24"/>
                <w14:textFill>
                  <w14:solidFill>
                    <w14:schemeClr w14:val="tx1"/>
                  </w14:solidFill>
                </w14:textFill>
              </w:rPr>
              <w:t>）</w:t>
            </w:r>
          </w:p>
        </w:tc>
        <w:tc>
          <w:tcPr>
            <w:tcW w:w="6014" w:type="dxa"/>
            <w:tcBorders>
              <w:tl2br w:val="nil"/>
              <w:tr2bl w:val="nil"/>
            </w:tcBorders>
            <w:noWrap/>
            <w:vAlign w:val="center"/>
          </w:tcPr>
          <w:p>
            <w:pPr>
              <w:widowControl/>
              <w:numPr>
                <w:ilvl w:val="0"/>
                <w:numId w:val="2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图传(接收端)</w:t>
            </w:r>
          </w:p>
          <w:p>
            <w:pPr>
              <w:widowControl/>
              <w:numPr>
                <w:ilvl w:val="0"/>
                <w:numId w:val="2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支持 4K30fps 格式视频、12~20M高码流传输拍摄 4K，实时传输监看4K，</w:t>
            </w:r>
          </w:p>
          <w:p>
            <w:pPr>
              <w:widowControl/>
              <w:numPr>
                <w:ilvl w:val="0"/>
                <w:numId w:val="2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配备 SDI+HDMI 双接口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图传SDI线</w:t>
            </w:r>
          </w:p>
        </w:tc>
        <w:tc>
          <w:tcPr>
            <w:tcW w:w="6014" w:type="dxa"/>
            <w:tcBorders>
              <w:tl2br w:val="nil"/>
              <w:tr2bl w:val="nil"/>
            </w:tcBorders>
            <w:noWrap/>
            <w:vAlign w:val="center"/>
          </w:tcPr>
          <w:p>
            <w:pPr>
              <w:widowControl/>
              <w:numPr>
                <w:ilvl w:val="0"/>
                <w:numId w:val="2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75-3 5接口</w:t>
            </w:r>
          </w:p>
          <w:p>
            <w:pPr>
              <w:widowControl/>
              <w:numPr>
                <w:ilvl w:val="0"/>
                <w:numId w:val="2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BNC高清HD线</w:t>
            </w:r>
          </w:p>
          <w:p>
            <w:pPr>
              <w:widowControl/>
              <w:numPr>
                <w:ilvl w:val="0"/>
                <w:numId w:val="2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1.5米</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32</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图传SDI线</w:t>
            </w:r>
          </w:p>
        </w:tc>
        <w:tc>
          <w:tcPr>
            <w:tcW w:w="6014" w:type="dxa"/>
            <w:tcBorders>
              <w:tl2br w:val="nil"/>
              <w:tr2bl w:val="nil"/>
            </w:tcBorders>
            <w:noWrap/>
            <w:vAlign w:val="center"/>
          </w:tcPr>
          <w:p>
            <w:pPr>
              <w:widowControl/>
              <w:numPr>
                <w:ilvl w:val="0"/>
                <w:numId w:val="2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75-3 5接口</w:t>
            </w:r>
          </w:p>
          <w:p>
            <w:pPr>
              <w:widowControl/>
              <w:numPr>
                <w:ilvl w:val="0"/>
                <w:numId w:val="2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BNC高清HD线</w:t>
            </w:r>
          </w:p>
          <w:p>
            <w:pPr>
              <w:widowControl/>
              <w:numPr>
                <w:ilvl w:val="0"/>
                <w:numId w:val="2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30</w:t>
            </w:r>
            <w:r>
              <w:rPr>
                <w:rFonts w:hint="eastAsia" w:asciiTheme="minorEastAsia" w:hAnsiTheme="minorEastAsia" w:eastAsiaTheme="minorEastAsia"/>
                <w:color w:val="000000" w:themeColor="text1"/>
                <w:sz w:val="24"/>
                <w14:textFill>
                  <w14:solidFill>
                    <w14:schemeClr w14:val="tx1"/>
                  </w14:solidFill>
                </w14:textFill>
              </w:rPr>
              <w:t>米</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图传HDMI线</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1、HDMI2.0</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0</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米</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对讲机</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1、电池容量2190mAh (8.3Wh)</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2、电池标称电压3.8V</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3、接口类型Type-C</w:t>
            </w:r>
          </w:p>
          <w:p>
            <w:pPr>
              <w:widowControl/>
              <w:numPr>
                <w:ilvl w:val="0"/>
                <w:numId w:val="2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发射功率4W</w:t>
            </w:r>
          </w:p>
          <w:p>
            <w:pPr>
              <w:widowControl/>
              <w:numPr>
                <w:ilvl w:val="0"/>
                <w:numId w:val="2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对讲距离：1-5KM</w:t>
            </w:r>
          </w:p>
          <w:p>
            <w:pPr>
              <w:widowControl/>
              <w:numPr>
                <w:ilvl w:val="0"/>
                <w:numId w:val="2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支持蓝牙耳机</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导演车</w:t>
            </w:r>
          </w:p>
        </w:tc>
        <w:tc>
          <w:tcPr>
            <w:tcW w:w="6014" w:type="dxa"/>
            <w:tcBorders>
              <w:tl2br w:val="nil"/>
              <w:tr2bl w:val="nil"/>
            </w:tcBorders>
            <w:noWrap/>
            <w:vAlign w:val="center"/>
          </w:tcPr>
          <w:p>
            <w:pPr>
              <w:widowControl/>
              <w:numPr>
                <w:ilvl w:val="0"/>
                <w:numId w:val="2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承受重量500KG</w:t>
            </w:r>
          </w:p>
          <w:p>
            <w:pPr>
              <w:widowControl/>
              <w:numPr>
                <w:ilvl w:val="0"/>
                <w:numId w:val="2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全车布满扩展接口,为导演用于DIT、摄影、录音等方面,以及电池管理的多功能扩展</w:t>
            </w:r>
          </w:p>
          <w:p>
            <w:pPr>
              <w:widowControl/>
              <w:numPr>
                <w:ilvl w:val="0"/>
                <w:numId w:val="2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全快拆设计</w:t>
            </w:r>
          </w:p>
          <w:p>
            <w:pPr>
              <w:widowControl/>
              <w:numPr>
                <w:ilvl w:val="0"/>
                <w:numId w:val="2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可进行10cm升降</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无线录音话筒</w:t>
            </w:r>
          </w:p>
        </w:tc>
        <w:tc>
          <w:tcPr>
            <w:tcW w:w="6014" w:type="dxa"/>
            <w:tcBorders>
              <w:tl2br w:val="nil"/>
              <w:tr2bl w:val="nil"/>
            </w:tcBorders>
            <w:noWrap/>
            <w:vAlign w:val="center"/>
          </w:tcPr>
          <w:p>
            <w:pPr>
              <w:widowControl/>
              <w:numPr>
                <w:ilvl w:val="0"/>
                <w:numId w:val="2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一拖二规格</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含发射器</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个接收器</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个</w:t>
            </w:r>
            <w:r>
              <w:rPr>
                <w:rFonts w:asciiTheme="minorEastAsia" w:hAnsiTheme="minorEastAsia" w:eastAsiaTheme="minorEastAsia"/>
                <w:color w:val="000000" w:themeColor="text1"/>
                <w:sz w:val="24"/>
                <w14:textFill>
                  <w14:solidFill>
                    <w14:schemeClr w14:val="tx1"/>
                  </w14:solidFill>
                </w14:textFill>
              </w:rPr>
              <w:t>）</w:t>
            </w:r>
          </w:p>
          <w:p>
            <w:pPr>
              <w:widowControl/>
              <w:numPr>
                <w:ilvl w:val="0"/>
                <w:numId w:val="2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射频输出功率30 mW/5 mW可选(UC、U、CE、LA、CN型号)10 mW/2 mW可选(J、E、KR 型号)</w:t>
            </w:r>
          </w:p>
          <w:p>
            <w:pPr>
              <w:widowControl/>
              <w:numPr>
                <w:ilvl w:val="0"/>
                <w:numId w:val="2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输入接口3.5 mm 直径 3 极锁定迷你插孔</w:t>
            </w:r>
          </w:p>
          <w:p>
            <w:pPr>
              <w:widowControl/>
              <w:numPr>
                <w:ilvl w:val="0"/>
                <w:numId w:val="2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参考音频输入电平60 dBV(麦克风输入，GAIN MODE 设置为 NORMAL，0 dB 袁减)+4 dBu(线路粉入)</w:t>
            </w:r>
          </w:p>
          <w:p>
            <w:pPr>
              <w:widowControl/>
              <w:numPr>
                <w:ilvl w:val="0"/>
                <w:numId w:val="2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音频延迟约 0.35 ms</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摇臂</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伸展高度：80mm--3200mm</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活动半径：1700mm</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负荷范围：40kg</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4、航空箱一个</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配用球碗 Φ100mm /150mm</w:t>
            </w:r>
            <w:r>
              <w:rPr>
                <w:rFonts w:hint="eastAsia" w:asciiTheme="minorEastAsia" w:hAnsiTheme="minorEastAsia" w:eastAsiaTheme="minorEastAsia"/>
                <w:color w:val="000000" w:themeColor="text1"/>
                <w:sz w:val="24"/>
                <w14:textFill>
                  <w14:solidFill>
                    <w14:schemeClr w14:val="tx1"/>
                  </w14:solidFill>
                </w14:textFill>
              </w:rPr>
              <w:t>各一副</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38</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摇臂配件</w:t>
            </w:r>
          </w:p>
        </w:tc>
        <w:tc>
          <w:tcPr>
            <w:tcW w:w="6014" w:type="dxa"/>
            <w:tcBorders>
              <w:tl2br w:val="nil"/>
              <w:tr2bl w:val="nil"/>
            </w:tcBorders>
            <w:noWrap/>
            <w:vAlign w:val="center"/>
          </w:tcPr>
          <w:p>
            <w:pPr>
              <w:widowControl/>
              <w:numPr>
                <w:ilvl w:val="0"/>
                <w:numId w:val="3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摇臂用</w:t>
            </w:r>
            <w:r>
              <w:rPr>
                <w:rFonts w:asciiTheme="minorEastAsia" w:hAnsiTheme="minorEastAsia" w:eastAsiaTheme="minorEastAsia"/>
                <w:color w:val="000000" w:themeColor="text1"/>
                <w:sz w:val="24"/>
                <w14:textFill>
                  <w14:solidFill>
                    <w14:schemeClr w14:val="tx1"/>
                  </w14:solidFill>
                </w14:textFill>
              </w:rPr>
              <w:t>脚架</w:t>
            </w:r>
          </w:p>
          <w:p>
            <w:pPr>
              <w:widowControl/>
              <w:numPr>
                <w:ilvl w:val="0"/>
                <w:numId w:val="3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承重大</w:t>
            </w:r>
            <w:r>
              <w:rPr>
                <w:rFonts w:hint="eastAsia" w:asciiTheme="minorEastAsia" w:hAnsiTheme="minorEastAsia" w:eastAsiaTheme="minorEastAsia"/>
                <w:color w:val="000000" w:themeColor="text1"/>
                <w:sz w:val="24"/>
                <w:lang w:val="en-US" w:eastAsia="zh-CN"/>
                <w14:textFill>
                  <w14:solidFill>
                    <w14:schemeClr w14:val="tx1"/>
                  </w14:solidFill>
                </w14:textFill>
              </w:rPr>
              <w:t>于</w:t>
            </w:r>
            <w:r>
              <w:rPr>
                <w:rFonts w:asciiTheme="minorEastAsia" w:hAnsiTheme="minorEastAsia" w:eastAsiaTheme="minorEastAsia"/>
                <w:color w:val="000000" w:themeColor="text1"/>
                <w:sz w:val="24"/>
                <w14:textFill>
                  <w14:solidFill>
                    <w14:schemeClr w14:val="tx1"/>
                  </w14:solidFill>
                </w14:textFill>
              </w:rPr>
              <w:t>40KG</w:t>
            </w:r>
          </w:p>
          <w:p>
            <w:pPr>
              <w:widowControl/>
              <w:numPr>
                <w:ilvl w:val="0"/>
                <w:numId w:val="3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配用球碗 Φ100mm /150mm</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39</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电控摇臂</w:t>
            </w:r>
          </w:p>
        </w:tc>
        <w:tc>
          <w:tcPr>
            <w:tcW w:w="6014" w:type="dxa"/>
            <w:tcBorders>
              <w:tl2br w:val="nil"/>
              <w:tr2bl w:val="nil"/>
            </w:tcBorders>
            <w:noWrap/>
            <w:vAlign w:val="center"/>
          </w:tcPr>
          <w:p>
            <w:pPr>
              <w:widowControl/>
              <w:numPr>
                <w:ilvl w:val="0"/>
                <w:numId w:val="3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机重50kg</w:t>
            </w:r>
          </w:p>
          <w:p>
            <w:pPr>
              <w:widowControl/>
              <w:numPr>
                <w:ilvl w:val="0"/>
                <w:numId w:val="3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臂体6节 (1米/节)</w:t>
            </w:r>
          </w:p>
          <w:p>
            <w:pPr>
              <w:widowControl/>
              <w:numPr>
                <w:ilvl w:val="0"/>
                <w:numId w:val="3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总长12</w:t>
            </w:r>
            <w:r>
              <w:rPr>
                <w:rFonts w:asciiTheme="minorEastAsia" w:hAnsiTheme="minorEastAsia" w:eastAsiaTheme="minorEastAsia"/>
                <w:color w:val="000000" w:themeColor="text1"/>
                <w:sz w:val="24"/>
                <w14:textFill>
                  <w14:solidFill>
                    <w14:schemeClr w14:val="tx1"/>
                  </w14:solidFill>
                </w14:textFill>
              </w:rPr>
              <w:t>米</w:t>
            </w:r>
          </w:p>
          <w:p>
            <w:pPr>
              <w:widowControl/>
              <w:numPr>
                <w:ilvl w:val="0"/>
                <w:numId w:val="3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云台承重8KG</w:t>
            </w:r>
          </w:p>
          <w:p>
            <w:pPr>
              <w:widowControl/>
              <w:numPr>
                <w:ilvl w:val="0"/>
                <w:numId w:val="3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臂体体质高强度轻型铝合金</w:t>
            </w:r>
          </w:p>
          <w:p>
            <w:pPr>
              <w:widowControl/>
              <w:numPr>
                <w:ilvl w:val="0"/>
                <w:numId w:val="3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产品配置</w:t>
            </w:r>
            <w:r>
              <w:rPr>
                <w:rFonts w:asciiTheme="minorEastAsia" w:hAnsiTheme="minorEastAsia" w:eastAsiaTheme="minorEastAsia"/>
                <w:color w:val="000000" w:themeColor="text1"/>
                <w:sz w:val="24"/>
                <w14:textFill>
                  <w14:solidFill>
                    <w14:schemeClr w14:val="tx1"/>
                  </w14:solidFill>
                </w14:textFill>
              </w:rPr>
              <w:t>：臂体、钢丝绳支柱、配重杆、钢丝绳、花篮螺丝、弹簧钩、监视器支架脚架主支柱、脚架倒支柱、脚轮、工具、云台控制手柄、主电缆、摄像机控制手柄、充电器、适配器、监视器、遮光罩、安装光盘、电控云台、航空箱</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40</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化妆台</w:t>
            </w:r>
          </w:p>
        </w:tc>
        <w:tc>
          <w:tcPr>
            <w:tcW w:w="6014" w:type="dxa"/>
            <w:tcBorders>
              <w:tl2br w:val="nil"/>
              <w:tr2bl w:val="nil"/>
            </w:tcBorders>
            <w:noWrap/>
            <w:vAlign w:val="center"/>
          </w:tcPr>
          <w:p>
            <w:pPr>
              <w:widowControl/>
              <w:numPr>
                <w:ilvl w:val="0"/>
                <w:numId w:val="3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规格</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不小于：长120</w:t>
            </w:r>
            <w:r>
              <w:rPr>
                <w:rFonts w:hint="eastAsia" w:asciiTheme="minorEastAsia" w:hAnsiTheme="minorEastAsia" w:eastAsiaTheme="minorEastAsia"/>
                <w:color w:val="000000" w:themeColor="text1"/>
                <w:sz w:val="24"/>
                <w:lang w:val="en-US" w:eastAsia="zh-CN"/>
                <w14:textFill>
                  <w14:solidFill>
                    <w14:schemeClr w14:val="tx1"/>
                  </w14:solidFill>
                </w14:textFill>
              </w:rPr>
              <w:t>cm</w:t>
            </w:r>
            <w:r>
              <w:rPr>
                <w:rFonts w:hint="eastAsia" w:asciiTheme="minorEastAsia" w:hAnsiTheme="minorEastAsia" w:eastAsiaTheme="minorEastAsia"/>
                <w:color w:val="000000" w:themeColor="text1"/>
                <w:sz w:val="24"/>
                <w14:textFill>
                  <w14:solidFill>
                    <w14:schemeClr w14:val="tx1"/>
                  </w14:solidFill>
                </w14:textFill>
              </w:rPr>
              <w:t>宽40</w:t>
            </w:r>
            <w:r>
              <w:rPr>
                <w:rFonts w:hint="eastAsia" w:asciiTheme="minorEastAsia" w:hAnsiTheme="minorEastAsia" w:eastAsiaTheme="minorEastAsia"/>
                <w:color w:val="000000" w:themeColor="text1"/>
                <w:sz w:val="24"/>
                <w:lang w:val="en-US" w:eastAsia="zh-CN"/>
                <w14:textFill>
                  <w14:solidFill>
                    <w14:schemeClr w14:val="tx1"/>
                  </w14:solidFill>
                </w14:textFill>
              </w:rPr>
              <w:t>cm</w:t>
            </w:r>
            <w:r>
              <w:rPr>
                <w:rFonts w:hint="eastAsia" w:asciiTheme="minorEastAsia" w:hAnsiTheme="minorEastAsia" w:eastAsiaTheme="minorEastAsia"/>
                <w:color w:val="000000" w:themeColor="text1"/>
                <w:sz w:val="24"/>
                <w14:textFill>
                  <w14:solidFill>
                    <w14:schemeClr w14:val="tx1"/>
                  </w14:solidFill>
                </w14:textFill>
              </w:rPr>
              <w:t>高160</w:t>
            </w:r>
            <w:r>
              <w:rPr>
                <w:rFonts w:hint="eastAsia" w:asciiTheme="minorEastAsia" w:hAnsiTheme="minorEastAsia" w:eastAsiaTheme="minorEastAsia"/>
                <w:color w:val="000000" w:themeColor="text1"/>
                <w:sz w:val="24"/>
                <w:lang w:val="en-US" w:eastAsia="zh-CN"/>
                <w14:textFill>
                  <w14:solidFill>
                    <w14:schemeClr w14:val="tx1"/>
                  </w14:solidFill>
                </w14:textFill>
              </w:rPr>
              <w:t>cm</w:t>
            </w:r>
          </w:p>
          <w:p>
            <w:pPr>
              <w:pStyle w:val="5"/>
              <w:numPr>
                <w:ilvl w:val="0"/>
                <w:numId w:val="32"/>
              </w:num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带照明灯泡</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组</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41</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摄影底座</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规格</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不小于：圆形 80*30cm白色</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42</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1、LED  1200W大功率影视聚光灯</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2、IP54级别户外便携防水</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3、CRI：96以上</w:t>
            </w:r>
          </w:p>
          <w:p>
            <w:pPr>
              <w:widowControl/>
              <w:jc w:val="left"/>
              <w:textAlignment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4、NL卡口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43</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1、LED 600W大功率影视聚光灯</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2、CRI大于96</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3、色温：2700K-6500K</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4、全天候防水</w:t>
            </w:r>
          </w:p>
          <w:p>
            <w:pPr>
              <w:pStyle w:val="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5、保荣卡口</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44</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1、LED 300W大功率影视聚光灯</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2、支持机身控制盒</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3、内置多种场景光效</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4、CRI：大于96</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5.色温2200k-5600k</w:t>
            </w:r>
          </w:p>
          <w:p>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6、保荣卡口</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45</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1、300W板型LED灯</w:t>
            </w:r>
          </w:p>
          <w:p>
            <w:pPr>
              <w:pStyle w:val="6"/>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2、色温：：2500K-10000K广色温</w:t>
            </w:r>
          </w:p>
          <w:p>
            <w:pPr>
              <w:pStyle w:val="6"/>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3、CRI大于95</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46</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1、LED 不低于70W</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2、CRI平均值：97</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3、色温：2700K-12000K</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47</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1、类型：LED四头灯</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2、色温：2800K-6500K</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3、配件：黑布罩Φ880×1100mm, 白布罩Φ 780×1000mm</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48</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1、类型：LED六头灯</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2、色温：2800K-6500K</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3、配件：黑布罩Φ880×1100mm, 白布罩Φ 780×1000mm</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49</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产品类型：柔光箱</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适用场景：影棚、摄影棚</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配件：黑布罩、白布罩</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兼容性：适用于LED矩阵灯柔光灯四头/六头灯</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50</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管灯控光附件 1/4地架</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51</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管灯控光附件 30C挡板+格栅</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52</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led摄影灯切光投影造型插片束光筒 Spotlight镜头36°</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53</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led摄影灯切光投影造型插片束光筒 Spotlight镜头19°</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54</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led摄影灯切光投影造型插片束光筒 Spotlight镜头26°</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55</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NL卡口FL-35菲涅尔镜头</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56</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NL卡口 150CM深口柔光箱</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57</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1、120CM 八角柔光箱</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2、保荣卡口</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58</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numPr>
                <w:ilvl w:val="0"/>
                <w:numId w:val="33"/>
              </w:numPr>
              <w:spacing w:beforeAutospacing="1" w:afterAutospacing="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适用</w:t>
            </w:r>
            <w:r>
              <w:rPr>
                <w:rFonts w:asciiTheme="minorEastAsia" w:hAnsiTheme="minorEastAsia" w:eastAsiaTheme="minorEastAsia"/>
                <w:color w:val="000000" w:themeColor="text1"/>
                <w:sz w:val="24"/>
                <w14:textFill>
                  <w14:solidFill>
                    <w14:schemeClr w14:val="tx1"/>
                  </w14:solidFill>
                </w14:textFill>
              </w:rPr>
              <w:t>P300c 柔光箱</w:t>
            </w:r>
          </w:p>
          <w:p>
            <w:pPr>
              <w:pStyle w:val="5"/>
              <w:numPr>
                <w:ilvl w:val="0"/>
                <w:numId w:val="33"/>
              </w:num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包含收纳包、柔光布、格栅</w:t>
            </w:r>
          </w:p>
        </w:tc>
        <w:tc>
          <w:tcPr>
            <w:tcW w:w="0" w:type="auto"/>
            <w:tcBorders>
              <w:tl2br w:val="nil"/>
              <w:tr2bl w:val="nil"/>
            </w:tcBorders>
            <w:vAlign w:val="center"/>
          </w:tcPr>
          <w:p>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59</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1、150CM 抛物线柔光罩</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2、保荣卡口</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60</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GOBO摄影补光灯投影造型片</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61</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四叶遮光板 保荣卡口蜂巢控光挡光板</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pStyle w:val="4"/>
              <w:numPr>
                <w:ilvl w:val="0"/>
                <w:numId w:val="0"/>
              </w:numPr>
              <w:shd w:val="clear" w:color="auto" w:fill="FFFFFF"/>
              <w:spacing w:before="0" w:after="0"/>
              <w:jc w:val="center"/>
              <w:rPr>
                <w:rFonts w:cs="宋体" w:asciiTheme="minorEastAsia" w:hAnsiTheme="minorEastAsia" w:eastAsiaTheme="minorEastAsia"/>
                <w:b w:val="0"/>
                <w:color w:val="000000" w:themeColor="text1"/>
                <w:kern w:val="2"/>
                <w:sz w:val="24"/>
                <w:szCs w:val="24"/>
                <w14:textFill>
                  <w14:solidFill>
                    <w14:schemeClr w14:val="tx1"/>
                  </w14:solidFill>
                </w14:textFill>
              </w:rPr>
            </w:pPr>
            <w:r>
              <w:rPr>
                <w:rFonts w:cs="宋体" w:asciiTheme="minorEastAsia" w:hAnsiTheme="minorEastAsia" w:eastAsiaTheme="minorEastAsia"/>
                <w:b w:val="0"/>
                <w:color w:val="000000" w:themeColor="text1"/>
                <w:kern w:val="2"/>
                <w:sz w:val="24"/>
                <w:szCs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62</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安全箱</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1、材质：聚丙烯</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2、适用爱图仕NOVA P300</w:t>
            </w:r>
          </w:p>
        </w:tc>
        <w:tc>
          <w:tcPr>
            <w:tcW w:w="0" w:type="auto"/>
            <w:tcBorders>
              <w:tl2br w:val="nil"/>
              <w:tr2bl w:val="nil"/>
            </w:tcBorders>
            <w:vAlign w:val="center"/>
          </w:tcPr>
          <w:p>
            <w:pPr>
              <w:pStyle w:val="4"/>
              <w:numPr>
                <w:ilvl w:val="0"/>
                <w:numId w:val="0"/>
              </w:numPr>
              <w:shd w:val="clear" w:color="auto" w:fill="FFFFFF"/>
              <w:spacing w:before="0" w:after="0"/>
              <w:rPr>
                <w:rFonts w:cs="宋体" w:asciiTheme="minorEastAsia" w:hAnsiTheme="minorEastAsia" w:eastAsiaTheme="minorEastAsia"/>
                <w:b w:val="0"/>
                <w:color w:val="000000" w:themeColor="text1"/>
                <w:kern w:val="2"/>
                <w:sz w:val="24"/>
                <w:szCs w:val="24"/>
                <w:lang w:bidi="ar"/>
                <w14:textFill>
                  <w14:solidFill>
                    <w14:schemeClr w14:val="tx1"/>
                  </w14:solidFill>
                </w14:textFill>
              </w:rPr>
            </w:pPr>
            <w:r>
              <w:rPr>
                <w:rFonts w:hint="eastAsia" w:cs="宋体" w:asciiTheme="minorEastAsia" w:hAnsiTheme="minorEastAsia" w:eastAsiaTheme="minorEastAsia"/>
                <w:b w:val="0"/>
                <w:color w:val="000000" w:themeColor="text1"/>
                <w:kern w:val="2"/>
                <w:sz w:val="24"/>
                <w:szCs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63</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魔术腿</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1、40寸魔术腿</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2、承重：20KG</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3、灯腿可上下升降</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cs="宋体" w:asciiTheme="minorEastAsia" w:hAnsiTheme="minorEastAsia" w:eastAsiaTheme="minorEastAsia"/>
                <w:color w:val="000000" w:themeColor="text1"/>
                <w:sz w:val="24"/>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64</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1、材质：不锈钢</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2、最高高度 ：450CM以上</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3、承重 ：40KG</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65</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魔术腿收纳运输架</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66</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灯架附件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1、脚轮：25mm*25mm</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2、净重：3KG</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3、适配灯架</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67</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4"/>
              <w:numPr>
                <w:ilvl w:val="0"/>
                <w:numId w:val="0"/>
              </w:numPr>
              <w:shd w:val="clear" w:color="auto" w:fill="FFFFFF"/>
              <w:spacing w:before="0" w:after="0"/>
              <w:rPr>
                <w:rFonts w:cs="宋体" w:asciiTheme="minorEastAsia" w:hAnsiTheme="minorEastAsia" w:eastAsiaTheme="minorEastAsia"/>
                <w:b w:val="0"/>
                <w:color w:val="000000" w:themeColor="text1"/>
                <w:kern w:val="2"/>
                <w:sz w:val="24"/>
                <w:szCs w:val="24"/>
                <w14:textFill>
                  <w14:solidFill>
                    <w14:schemeClr w14:val="tx1"/>
                  </w14:solidFill>
                </w14:textFill>
              </w:rPr>
            </w:pPr>
            <w:r>
              <w:rPr>
                <w:rFonts w:cs="宋体" w:asciiTheme="minorEastAsia" w:hAnsiTheme="minorEastAsia" w:eastAsiaTheme="minorEastAsia"/>
                <w:b w:val="0"/>
                <w:color w:val="000000" w:themeColor="text1"/>
                <w:kern w:val="2"/>
                <w:sz w:val="24"/>
                <w:szCs w:val="24"/>
                <w14:textFill>
                  <w14:solidFill>
                    <w14:schemeClr w14:val="tx1"/>
                  </w14:solidFill>
                </w14:textFill>
              </w:rPr>
              <w:t>灯架沙袋双色条纹</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68</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2"/>
              <w:keepNext w:val="0"/>
              <w:keepLines w:val="0"/>
              <w:widowControl/>
              <w:numPr>
                <w:ilvl w:val="0"/>
                <w:numId w:val="0"/>
              </w:numPr>
              <w:shd w:val="clear" w:color="auto" w:fill="FFFFFF"/>
              <w:spacing w:before="0" w:after="0" w:line="240" w:lineRule="auto"/>
              <w:rPr>
                <w:rFonts w:cs="宋体" w:asciiTheme="minorEastAsia" w:hAnsiTheme="minorEastAsia" w:eastAsiaTheme="minorEastAsia"/>
                <w:b w:val="0"/>
                <w:color w:val="000000" w:themeColor="text1"/>
                <w:kern w:val="2"/>
                <w:sz w:val="24"/>
                <w:szCs w:val="24"/>
                <w14:textFill>
                  <w14:solidFill>
                    <w14:schemeClr w14:val="tx1"/>
                  </w14:solidFill>
                </w14:textFill>
              </w:rPr>
            </w:pPr>
            <w:r>
              <w:rPr>
                <w:rFonts w:hint="eastAsia" w:cs="宋体" w:asciiTheme="minorEastAsia" w:hAnsiTheme="minorEastAsia" w:eastAsiaTheme="minorEastAsia"/>
                <w:b w:val="0"/>
                <w:color w:val="000000" w:themeColor="text1"/>
                <w:kern w:val="2"/>
                <w:sz w:val="24"/>
                <w:szCs w:val="24"/>
                <w14:textFill>
                  <w14:solidFill>
                    <w14:schemeClr w14:val="tx1"/>
                  </w14:solidFill>
                </w14:textFill>
              </w:rPr>
              <w:t>1、五合一旗板</w:t>
            </w:r>
          </w:p>
          <w:p>
            <w:pPr>
              <w:pStyle w:val="2"/>
              <w:keepNext w:val="0"/>
              <w:keepLines w:val="0"/>
              <w:widowControl/>
              <w:numPr>
                <w:ilvl w:val="0"/>
                <w:numId w:val="0"/>
              </w:numPr>
              <w:shd w:val="clear" w:color="auto" w:fill="FFFFFF"/>
              <w:spacing w:before="0" w:after="0" w:line="240" w:lineRule="auto"/>
              <w:rPr>
                <w:rFonts w:cs="宋体" w:asciiTheme="minorEastAsia" w:hAnsiTheme="minorEastAsia" w:eastAsiaTheme="minorEastAsia"/>
                <w:b w:val="0"/>
                <w:color w:val="000000" w:themeColor="text1"/>
                <w:kern w:val="2"/>
                <w:sz w:val="24"/>
                <w:szCs w:val="24"/>
                <w14:textFill>
                  <w14:solidFill>
                    <w14:schemeClr w14:val="tx1"/>
                  </w14:solidFill>
                </w14:textFill>
              </w:rPr>
            </w:pPr>
            <w:r>
              <w:rPr>
                <w:rFonts w:hint="eastAsia" w:cs="宋体" w:asciiTheme="minorEastAsia" w:hAnsiTheme="minorEastAsia" w:eastAsiaTheme="minorEastAsia"/>
                <w:b w:val="0"/>
                <w:color w:val="000000" w:themeColor="text1"/>
                <w:kern w:val="2"/>
                <w:sz w:val="24"/>
                <w:szCs w:val="24"/>
                <w14:textFill>
                  <w14:solidFill>
                    <w14:schemeClr w14:val="tx1"/>
                  </w14:solidFill>
                </w14:textFill>
              </w:rPr>
              <w:t>2、120</w:t>
            </w:r>
            <w:r>
              <w:rPr>
                <w:rFonts w:cs="宋体" w:asciiTheme="minorEastAsia" w:hAnsiTheme="minorEastAsia" w:eastAsiaTheme="minorEastAsia"/>
                <w:b w:val="0"/>
                <w:color w:val="000000" w:themeColor="text1"/>
                <w:kern w:val="2"/>
                <w:sz w:val="24"/>
                <w:szCs w:val="24"/>
                <w14:textFill>
                  <w14:solidFill>
                    <w14:schemeClr w14:val="tx1"/>
                  </w14:solidFill>
                </w14:textFill>
              </w:rPr>
              <w:t>x100cm</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cs="宋体" w:asciiTheme="minorEastAsia" w:hAnsiTheme="minorEastAsia" w:eastAsiaTheme="minorEastAsia"/>
                <w:color w:val="000000" w:themeColor="text1"/>
                <w:sz w:val="24"/>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69</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2"/>
              <w:keepNext w:val="0"/>
              <w:keepLines w:val="0"/>
              <w:widowControl/>
              <w:numPr>
                <w:ilvl w:val="0"/>
                <w:numId w:val="0"/>
              </w:numPr>
              <w:shd w:val="clear" w:color="auto" w:fill="FFFFFF"/>
              <w:spacing w:before="0" w:after="0" w:line="240" w:lineRule="auto"/>
              <w:rPr>
                <w:rFonts w:cs="宋体" w:asciiTheme="minorEastAsia" w:hAnsiTheme="minorEastAsia" w:eastAsiaTheme="minorEastAsia"/>
                <w:b w:val="0"/>
                <w:color w:val="000000" w:themeColor="text1"/>
                <w:kern w:val="2"/>
                <w:sz w:val="24"/>
                <w:szCs w:val="24"/>
                <w14:textFill>
                  <w14:solidFill>
                    <w14:schemeClr w14:val="tx1"/>
                  </w14:solidFill>
                </w14:textFill>
              </w:rPr>
            </w:pPr>
            <w:r>
              <w:rPr>
                <w:rFonts w:hint="eastAsia" w:cs="宋体" w:asciiTheme="minorEastAsia" w:hAnsiTheme="minorEastAsia" w:eastAsiaTheme="minorEastAsia"/>
                <w:b w:val="0"/>
                <w:color w:val="000000" w:themeColor="text1"/>
                <w:kern w:val="0"/>
                <w:sz w:val="24"/>
                <w:szCs w:val="24"/>
                <w14:textFill>
                  <w14:solidFill>
                    <w14:schemeClr w14:val="tx1"/>
                  </w14:solidFill>
                </w14:textFill>
              </w:rPr>
              <w:t>1</w:t>
            </w:r>
            <w:r>
              <w:rPr>
                <w:rFonts w:cs="宋体" w:asciiTheme="minorEastAsia" w:hAnsiTheme="minorEastAsia" w:eastAsiaTheme="minorEastAsia"/>
                <w:b w:val="0"/>
                <w:color w:val="000000" w:themeColor="text1"/>
                <w:kern w:val="0"/>
                <w:sz w:val="24"/>
                <w:szCs w:val="24"/>
                <w14:textFill>
                  <w14:solidFill>
                    <w14:schemeClr w14:val="tx1"/>
                  </w14:solidFill>
                </w14:textFill>
              </w:rPr>
              <w:t>8</w:t>
            </w:r>
            <w:r>
              <w:rPr>
                <w:rFonts w:hint="eastAsia" w:cs="宋体" w:asciiTheme="minorEastAsia" w:hAnsiTheme="minorEastAsia" w:eastAsiaTheme="minorEastAsia"/>
                <w:b w:val="0"/>
                <w:color w:val="000000" w:themeColor="text1"/>
                <w:kern w:val="0"/>
                <w:sz w:val="24"/>
                <w:szCs w:val="24"/>
                <w14:textFill>
                  <w14:solidFill>
                    <w14:schemeClr w14:val="tx1"/>
                  </w14:solidFill>
                </w14:textFill>
              </w:rPr>
              <w:t>K两面白柔光带滑轮米菠萝板2</w:t>
            </w:r>
            <w:r>
              <w:rPr>
                <w:rFonts w:cs="宋体" w:asciiTheme="minorEastAsia" w:hAnsiTheme="minorEastAsia" w:eastAsiaTheme="minorEastAsia"/>
                <w:b w:val="0"/>
                <w:color w:val="000000" w:themeColor="text1"/>
                <w:kern w:val="0"/>
                <w:sz w:val="24"/>
                <w:szCs w:val="24"/>
                <w14:textFill>
                  <w14:solidFill>
                    <w14:schemeClr w14:val="tx1"/>
                  </w14:solidFill>
                </w14:textFill>
              </w:rPr>
              <w:t>00*120</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r>
    </w:tbl>
    <w:p>
      <w:pPr>
        <w:spacing w:line="340" w:lineRule="exact"/>
        <w:rPr>
          <w:rFonts w:ascii="宋体" w:hAnsi="宋体" w:cs="华文楷体"/>
          <w:b/>
          <w:color w:val="000000"/>
          <w:sz w:val="28"/>
          <w:szCs w:val="28"/>
        </w:rPr>
      </w:pPr>
    </w:p>
    <w:p>
      <w:pPr>
        <w:spacing w:line="340" w:lineRule="exact"/>
        <w:rPr>
          <w:rFonts w:hint="eastAsia" w:ascii="宋体" w:hAnsi="宋体" w:cs="华文楷体"/>
          <w:b/>
          <w:color w:val="000000"/>
          <w:sz w:val="28"/>
          <w:szCs w:val="28"/>
        </w:rPr>
      </w:pPr>
    </w:p>
    <w:p>
      <w:pPr>
        <w:spacing w:line="340" w:lineRule="exact"/>
        <w:ind w:firstLine="482" w:firstLineChars="200"/>
        <w:rPr>
          <w:rFonts w:ascii="宋体" w:hAnsi="宋体" w:cs="华文楷体"/>
          <w:b/>
          <w:sz w:val="24"/>
        </w:rPr>
      </w:pPr>
      <w:r>
        <w:rPr>
          <w:rFonts w:hint="eastAsia" w:ascii="宋体" w:hAnsi="宋体" w:cs="华文楷体"/>
          <w:b/>
          <w:sz w:val="24"/>
        </w:rPr>
        <w:t>二、其他要求：</w:t>
      </w:r>
    </w:p>
    <w:p>
      <w:pPr>
        <w:spacing w:line="360" w:lineRule="exact"/>
        <w:ind w:firstLine="480"/>
        <w:rPr>
          <w:rFonts w:ascii="宋体" w:hAnsi="宋体" w:cs="华文楷体"/>
          <w:sz w:val="24"/>
        </w:rPr>
      </w:pPr>
      <w:r>
        <w:rPr>
          <w:rFonts w:hint="eastAsia" w:ascii="宋体" w:hAnsi="宋体" w:cs="华文楷体"/>
          <w:sz w:val="24"/>
        </w:rPr>
        <w:t>1.</w:t>
      </w:r>
      <w:r>
        <w:rPr>
          <w:rFonts w:hint="eastAsia" w:ascii="宋体" w:hAnsi="宋体"/>
          <w:sz w:val="24"/>
        </w:rPr>
        <w:t>本项目</w:t>
      </w:r>
      <w:r>
        <w:rPr>
          <w:rFonts w:hint="eastAsia" w:ascii="宋体" w:hAnsi="宋体" w:cs="宋体"/>
          <w:sz w:val="24"/>
          <w:szCs w:val="20"/>
        </w:rPr>
        <w:t>提供不少于3年的原厂商免费质保，中标后必须提供原厂授权与服务承诺。</w:t>
      </w:r>
      <w:r>
        <w:rPr>
          <w:rFonts w:hint="eastAsia" w:ascii="宋体" w:hAnsi="宋体" w:cs="华文楷体"/>
          <w:sz w:val="24"/>
        </w:rPr>
        <w:t>质保期自设备安装及调试完毕、经采购单位验收合格之日算起。</w:t>
      </w:r>
    </w:p>
    <w:p>
      <w:pPr>
        <w:spacing w:line="360" w:lineRule="exact"/>
        <w:ind w:firstLine="480" w:firstLineChars="200"/>
        <w:rPr>
          <w:rFonts w:ascii="宋体" w:hAnsi="宋体" w:cs="华文楷体"/>
          <w:bCs/>
          <w:sz w:val="24"/>
        </w:rPr>
      </w:pPr>
      <w:r>
        <w:rPr>
          <w:rFonts w:hint="eastAsia" w:ascii="宋体" w:hAnsi="宋体" w:cs="华文楷体"/>
          <w:sz w:val="24"/>
        </w:rPr>
        <w:t>2.所供产品应有生产厂、产品编号或生产型号，具有明显的生产厂或品牌标记，易于识别。</w:t>
      </w:r>
      <w:r>
        <w:rPr>
          <w:rFonts w:hint="eastAsia" w:ascii="宋体" w:hAnsi="宋体" w:cs="华文楷体"/>
          <w:bCs/>
          <w:sz w:val="24"/>
        </w:rPr>
        <w:t>在成交封样阶段和产品批量供货阶段招标方可随机抽取产品进行第三方检测，如发现和投标文件不符，将取消投标人资格并要</w:t>
      </w:r>
      <w:r>
        <w:rPr>
          <w:rFonts w:hint="eastAsia" w:ascii="宋体" w:hAnsi="宋体" w:cs="华文楷体"/>
          <w:bCs/>
          <w:color w:val="000000"/>
          <w:sz w:val="24"/>
        </w:rPr>
        <w:t>求承担全部损失。</w:t>
      </w:r>
      <w:r>
        <w:rPr>
          <w:rFonts w:hint="eastAsia" w:ascii="宋体" w:hAnsi="宋体" w:cs="华文楷体"/>
          <w:bCs/>
          <w:sz w:val="24"/>
        </w:rPr>
        <w:t>供货时成交人需提供主材发货清单原件或复印件加盖生产厂家的公章，并提供生产厂商的联系电话。</w:t>
      </w:r>
    </w:p>
    <w:p>
      <w:pPr>
        <w:spacing w:line="360" w:lineRule="exact"/>
        <w:ind w:firstLine="480" w:firstLineChars="200"/>
        <w:rPr>
          <w:rFonts w:ascii="宋体" w:hAnsi="宋体" w:cs="华文楷体"/>
          <w:bCs/>
          <w:sz w:val="24"/>
        </w:rPr>
      </w:pPr>
      <w:r>
        <w:rPr>
          <w:rFonts w:hint="eastAsia" w:ascii="宋体" w:hAnsi="宋体" w:cs="华文楷体"/>
          <w:bCs/>
          <w:sz w:val="24"/>
        </w:rPr>
        <w:t>3.提供现场免费安装、调试设备，进行操作试验，直至运行正常，提供操作及维护培训。在未验收前，货物保管、安全均由供应商负责。</w:t>
      </w:r>
    </w:p>
    <w:p>
      <w:pPr>
        <w:spacing w:line="360" w:lineRule="exact"/>
        <w:ind w:firstLine="480" w:firstLineChars="200"/>
        <w:rPr>
          <w:rFonts w:ascii="宋体" w:hAnsi="宋体" w:cs="华文楷体"/>
          <w:bCs/>
          <w:sz w:val="24"/>
        </w:rPr>
      </w:pPr>
      <w:r>
        <w:rPr>
          <w:rFonts w:hint="eastAsia" w:ascii="宋体" w:hAnsi="宋体" w:cs="华文楷体"/>
          <w:bCs/>
          <w:sz w:val="24"/>
        </w:rPr>
        <w:t>4.提供的产品须为原装正品，相关的配套附件质量优良，数量齐全。并在标书中注明可选配件的价格。</w:t>
      </w:r>
    </w:p>
    <w:p>
      <w:pPr>
        <w:spacing w:line="360" w:lineRule="exact"/>
        <w:ind w:firstLine="480" w:firstLineChars="200"/>
        <w:rPr>
          <w:rFonts w:hint="eastAsia" w:ascii="宋体" w:hAnsi="宋体" w:cs="华文楷体"/>
          <w:bCs/>
          <w:sz w:val="24"/>
        </w:rPr>
      </w:pPr>
      <w:r>
        <w:rPr>
          <w:rFonts w:hint="eastAsia" w:ascii="宋体" w:hAnsi="宋体" w:cs="华文楷体"/>
          <w:bCs/>
          <w:sz w:val="24"/>
        </w:rPr>
        <w:t>5.本项目投标时需附虚拟演播室与实景影棚拍摄实训实验室设备安装的具体</w:t>
      </w:r>
      <w:r>
        <w:rPr>
          <w:rFonts w:hint="eastAsia" w:ascii="宋体" w:hAnsi="宋体" w:cs="华文楷体"/>
          <w:bCs/>
          <w:sz w:val="24"/>
          <w:lang w:val="en-US" w:eastAsia="zh-CN"/>
        </w:rPr>
        <w:t>安装</w:t>
      </w:r>
      <w:r>
        <w:rPr>
          <w:rFonts w:hint="eastAsia" w:ascii="宋体" w:hAnsi="宋体" w:cs="华文楷体"/>
          <w:bCs/>
          <w:sz w:val="24"/>
        </w:rPr>
        <w:t>方案，注明虚拟演播室与实景影棚拍摄实训实验室设备预安装</w:t>
      </w:r>
      <w:r>
        <w:rPr>
          <w:rFonts w:hint="eastAsia" w:ascii="宋体" w:hAnsi="宋体" w:cs="华文楷体"/>
          <w:bCs/>
          <w:sz w:val="24"/>
          <w:lang w:val="en-US" w:eastAsia="zh-CN"/>
        </w:rPr>
        <w:t>地面与</w:t>
      </w:r>
      <w:r>
        <w:rPr>
          <w:rFonts w:hint="eastAsia" w:ascii="宋体" w:hAnsi="宋体" w:cs="华文楷体"/>
          <w:bCs/>
          <w:sz w:val="24"/>
        </w:rPr>
        <w:t>墙面、预用</w:t>
      </w:r>
      <w:r>
        <w:rPr>
          <w:rFonts w:hint="eastAsia" w:ascii="宋体" w:hAnsi="宋体" w:cs="华文楷体"/>
          <w:bCs/>
          <w:sz w:val="24"/>
          <w:lang w:val="en-US" w:eastAsia="zh-CN"/>
        </w:rPr>
        <w:t>固定</w:t>
      </w:r>
      <w:r>
        <w:rPr>
          <w:rFonts w:hint="eastAsia" w:ascii="宋体" w:hAnsi="宋体" w:cs="华文楷体"/>
          <w:bCs/>
          <w:sz w:val="24"/>
        </w:rPr>
        <w:t>材质等情况。</w:t>
      </w:r>
    </w:p>
    <w:p>
      <w:pPr>
        <w:spacing w:line="360" w:lineRule="exact"/>
        <w:ind w:firstLine="480"/>
        <w:rPr>
          <w:rFonts w:ascii="宋体" w:hAnsi="宋体" w:cs="华文楷体"/>
          <w:bCs/>
          <w:sz w:val="24"/>
        </w:rPr>
      </w:pPr>
      <w:r>
        <w:rPr>
          <w:rFonts w:hint="eastAsia" w:ascii="宋体" w:hAnsi="宋体" w:cs="华文楷体"/>
          <w:bCs/>
          <w:sz w:val="24"/>
        </w:rPr>
        <w:t>6.投标人依据现场勘查情况，提供与供货安装场地配套的产品设备，在现场安装施工过程中务必保证线路、管路的隐蔽、美观、整体，不得出现乱接、虚接、接续等情况，保证安装、调试过程的安全性。</w:t>
      </w:r>
    </w:p>
    <w:p>
      <w:pPr>
        <w:spacing w:line="360" w:lineRule="exact"/>
        <w:ind w:firstLine="480"/>
        <w:rPr>
          <w:rFonts w:ascii="宋体" w:hAnsi="宋体"/>
          <w:sz w:val="24"/>
        </w:rPr>
      </w:pPr>
      <w:r>
        <w:rPr>
          <w:rFonts w:hint="eastAsia" w:ascii="宋体" w:hAnsi="宋体"/>
          <w:sz w:val="24"/>
        </w:rPr>
        <w:t>7.本项目所包含的各类软、硬件提供不低于3年的售后服务，具体内容包含：1.硬件设备的质保；2.软件系统的操作培训和升级服务；3.提供7*24小时远程技术支持；4.如需现场支持，响应时间不超过48小时。</w:t>
      </w:r>
    </w:p>
    <w:p>
      <w:pPr>
        <w:spacing w:line="340" w:lineRule="exact"/>
        <w:ind w:firstLine="480" w:firstLineChars="200"/>
        <w:rPr>
          <w:rFonts w:ascii="宋体" w:hAnsi="宋体" w:cs="华文楷体"/>
          <w:bCs/>
          <w:sz w:val="24"/>
        </w:rPr>
      </w:pPr>
    </w:p>
    <w:p>
      <w:pPr>
        <w:spacing w:line="340" w:lineRule="exact"/>
        <w:jc w:val="left"/>
        <w:rPr>
          <w:b/>
          <w:bCs/>
          <w:sz w:val="32"/>
          <w:szCs w:val="32"/>
        </w:rPr>
      </w:pPr>
    </w:p>
    <w:p>
      <w:pPr>
        <w:pStyle w:val="3"/>
        <w:sectPr>
          <w:footerReference r:id="rId3" w:type="default"/>
          <w:pgSz w:w="11906" w:h="16838"/>
          <w:pgMar w:top="1383" w:right="1080" w:bottom="986" w:left="1080" w:header="851" w:footer="709" w:gutter="0"/>
          <w:cols w:space="720" w:num="1"/>
          <w:docGrid w:linePitch="312" w:charSpace="0"/>
        </w:sectPr>
      </w:pPr>
    </w:p>
    <w:p>
      <w:pPr>
        <w:ind w:firstLine="2638" w:firstLineChars="1095"/>
        <w:rPr>
          <w:rFonts w:ascii="宋体" w:hAnsi="宋体"/>
          <w:b/>
          <w:bCs/>
          <w:sz w:val="24"/>
        </w:rPr>
      </w:pPr>
    </w:p>
    <w:p>
      <w:pPr>
        <w:jc w:val="center"/>
        <w:rPr>
          <w:rFonts w:ascii="宋体" w:hAnsi="宋体"/>
          <w:b/>
          <w:bCs/>
          <w:sz w:val="24"/>
        </w:rPr>
      </w:pPr>
      <w:r>
        <w:rPr>
          <w:rFonts w:hint="eastAsia" w:ascii="宋体" w:hAnsi="宋体"/>
          <w:b/>
          <w:bCs/>
          <w:sz w:val="24"/>
        </w:rPr>
        <w:t>第三章 合同主要条款</w:t>
      </w:r>
    </w:p>
    <w:p>
      <w:pPr>
        <w:pStyle w:val="5"/>
      </w:pPr>
    </w:p>
    <w:p>
      <w:pPr>
        <w:spacing w:line="360" w:lineRule="exact"/>
        <w:jc w:val="center"/>
        <w:rPr>
          <w:rFonts w:ascii="仿宋" w:hAnsi="仿宋" w:eastAsia="仿宋" w:cs="仿宋"/>
          <w:b/>
          <w:bCs/>
          <w:sz w:val="36"/>
          <w:szCs w:val="36"/>
        </w:rPr>
      </w:pPr>
      <w:r>
        <w:rPr>
          <w:rFonts w:hint="eastAsia" w:ascii="仿宋" w:hAnsi="仿宋" w:eastAsia="仿宋" w:cs="仿宋"/>
          <w:b/>
          <w:bCs/>
          <w:sz w:val="36"/>
          <w:szCs w:val="36"/>
        </w:rPr>
        <w:t>江苏师范大学科文学院</w:t>
      </w:r>
    </w:p>
    <w:p>
      <w:pPr>
        <w:spacing w:line="360" w:lineRule="exact"/>
        <w:jc w:val="center"/>
        <w:rPr>
          <w:rFonts w:ascii="仿宋" w:hAnsi="仿宋" w:eastAsia="仿宋" w:cs="仿宋"/>
          <w:b/>
          <w:bCs/>
          <w:sz w:val="36"/>
          <w:szCs w:val="36"/>
        </w:rPr>
      </w:pPr>
      <w:r>
        <w:rPr>
          <w:rFonts w:hint="eastAsia" w:ascii="仿宋" w:hAnsi="仿宋" w:eastAsia="仿宋" w:cs="仿宋"/>
          <w:b/>
          <w:bCs/>
          <w:sz w:val="36"/>
          <w:szCs w:val="36"/>
        </w:rPr>
        <w:t>虚拟演播室与实景影棚拍摄实训实验室设备采购与安装项目</w:t>
      </w:r>
    </w:p>
    <w:p>
      <w:pPr>
        <w:pStyle w:val="5"/>
      </w:pPr>
    </w:p>
    <w:p>
      <w:pPr>
        <w:spacing w:line="360" w:lineRule="exact"/>
        <w:ind w:firstLine="562" w:firstLineChars="200"/>
        <w:rPr>
          <w:rFonts w:ascii="仿宋" w:hAnsi="仿宋" w:eastAsia="仿宋" w:cs="仿宋"/>
          <w:b/>
          <w:bCs/>
          <w:sz w:val="36"/>
          <w:szCs w:val="36"/>
        </w:rPr>
      </w:pPr>
      <w:r>
        <w:rPr>
          <w:rFonts w:hint="eastAsia" w:ascii="仿宋" w:hAnsi="仿宋" w:eastAsia="仿宋" w:cs="仿宋_GB2312"/>
          <w:b/>
          <w:bCs/>
          <w:sz w:val="28"/>
          <w:szCs w:val="28"/>
        </w:rPr>
        <w:t xml:space="preserve">甲方：    </w:t>
      </w:r>
    </w:p>
    <w:p>
      <w:pPr>
        <w:spacing w:line="360" w:lineRule="exact"/>
        <w:jc w:val="left"/>
        <w:rPr>
          <w:rFonts w:ascii="仿宋" w:hAnsi="仿宋" w:eastAsia="仿宋" w:cs="仿宋_GB2312"/>
          <w:b/>
          <w:bCs/>
          <w:sz w:val="28"/>
          <w:szCs w:val="28"/>
        </w:rPr>
      </w:pPr>
    </w:p>
    <w:p>
      <w:pPr>
        <w:spacing w:line="360" w:lineRule="exact"/>
        <w:ind w:firstLine="562" w:firstLineChars="200"/>
        <w:jc w:val="left"/>
        <w:rPr>
          <w:rFonts w:ascii="仿宋" w:hAnsi="仿宋" w:eastAsia="仿宋" w:cs="仿宋_GB2312"/>
          <w:sz w:val="24"/>
        </w:rPr>
      </w:pPr>
      <w:r>
        <w:rPr>
          <w:rFonts w:hint="eastAsia" w:ascii="仿宋" w:hAnsi="仿宋" w:eastAsia="仿宋" w:cs="仿宋_GB2312"/>
          <w:b/>
          <w:bCs/>
          <w:sz w:val="28"/>
          <w:szCs w:val="28"/>
        </w:rPr>
        <w:t xml:space="preserve">乙方：     </w:t>
      </w:r>
    </w:p>
    <w:p>
      <w:pPr>
        <w:spacing w:line="360" w:lineRule="exact"/>
        <w:ind w:firstLine="420"/>
        <w:jc w:val="left"/>
        <w:rPr>
          <w:rFonts w:ascii="仿宋" w:hAnsi="仿宋" w:eastAsia="仿宋" w:cs="仿宋_GB2312"/>
          <w:sz w:val="24"/>
        </w:rPr>
      </w:pPr>
      <w:r>
        <w:rPr>
          <w:rFonts w:hint="eastAsia" w:ascii="仿宋" w:hAnsi="仿宋" w:eastAsia="仿宋" w:cs="仿宋_GB2312"/>
          <w:sz w:val="24"/>
        </w:rPr>
        <w:t>甲乙双方本着诚实信用、平等互利的原则，就甲方委托乙方承担</w:t>
      </w:r>
      <w:r>
        <w:rPr>
          <w:rFonts w:hint="eastAsia" w:ascii="仿宋" w:hAnsi="仿宋" w:eastAsia="仿宋" w:cs="仿宋_GB2312"/>
          <w:sz w:val="24"/>
          <w:u w:val="single"/>
        </w:rPr>
        <w:t xml:space="preserve">  江苏师范大学科文学院虚拟演播室与实景影棚拍摄实训实验室设备采购与安装</w:t>
      </w:r>
      <w:r>
        <w:rPr>
          <w:rFonts w:hint="eastAsia" w:ascii="仿宋" w:hAnsi="仿宋" w:eastAsia="仿宋" w:cs="仿宋"/>
          <w:b/>
          <w:bCs/>
          <w:sz w:val="24"/>
        </w:rPr>
        <w:t>项目</w:t>
      </w:r>
      <w:r>
        <w:rPr>
          <w:rFonts w:hint="eastAsia" w:ascii="仿宋" w:hAnsi="仿宋" w:eastAsia="仿宋" w:cs="仿宋_GB2312"/>
          <w:sz w:val="24"/>
        </w:rPr>
        <w:t>事宜，经协商一致，签订本合同。</w:t>
      </w:r>
    </w:p>
    <w:p>
      <w:pPr>
        <w:adjustRightInd w:val="0"/>
        <w:snapToGrid w:val="0"/>
        <w:spacing w:line="360" w:lineRule="exact"/>
        <w:ind w:firstLine="482" w:firstLineChars="200"/>
        <w:outlineLvl w:val="0"/>
        <w:rPr>
          <w:rFonts w:ascii="仿宋" w:hAnsi="仿宋" w:eastAsia="仿宋" w:cs="仿宋_GB2312"/>
          <w:b/>
          <w:sz w:val="24"/>
        </w:rPr>
      </w:pPr>
      <w:r>
        <w:rPr>
          <w:rFonts w:hint="eastAsia" w:ascii="仿宋" w:hAnsi="仿宋" w:eastAsia="仿宋" w:cs="仿宋_GB2312"/>
          <w:b/>
          <w:sz w:val="24"/>
        </w:rPr>
        <w:t>第一条 合同内容</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1.1甲方委托乙方按附件提供相关设备并负责设备安装及调试。</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1.2项目的履行地点：</w:t>
      </w:r>
      <w:r>
        <w:rPr>
          <w:rFonts w:hint="eastAsia" w:ascii="仿宋" w:hAnsi="仿宋" w:eastAsia="仿宋" w:cs="仿宋_GB2312"/>
          <w:sz w:val="24"/>
          <w:u w:val="single"/>
        </w:rPr>
        <w:t xml:space="preserve"> 江苏师范大学科文学院  </w:t>
      </w:r>
      <w:r>
        <w:rPr>
          <w:rFonts w:hint="eastAsia" w:ascii="仿宋" w:hAnsi="仿宋" w:eastAsia="仿宋" w:cs="仿宋_GB2312"/>
          <w:sz w:val="24"/>
        </w:rPr>
        <w:t xml:space="preserve"> 。</w:t>
      </w:r>
    </w:p>
    <w:p>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_GB2312"/>
          <w:sz w:val="24"/>
        </w:rPr>
        <w:t>1.3本项目合同金额为（含税价）</w:t>
      </w:r>
      <w:r>
        <w:rPr>
          <w:rFonts w:hint="eastAsia" w:ascii="仿宋" w:hAnsi="仿宋" w:eastAsia="仿宋" w:cs="仿宋"/>
          <w:sz w:val="24"/>
          <w:u w:val="single"/>
        </w:rPr>
        <w:t>[      ]元，大写：[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价格包括乙方履行本合同可能发生的所有费用，包括且不限于运输、保险、设备保管、税费、材料费、软件系统、装卸费、安装调试费、人员培训、售后服务、方案设计、垃圾清运等费用 ，其他如下表：</w:t>
      </w:r>
    </w:p>
    <w:tbl>
      <w:tblPr>
        <w:tblStyle w:val="10"/>
        <w:tblW w:w="94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366"/>
        <w:gridCol w:w="6014"/>
        <w:gridCol w:w="552"/>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672" w:type="dxa"/>
            <w:tcBorders>
              <w:tl2br w:val="nil"/>
              <w:tr2bl w:val="nil"/>
            </w:tcBorders>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366" w:type="dxa"/>
            <w:tcBorders>
              <w:tl2br w:val="nil"/>
              <w:tr2bl w:val="nil"/>
            </w:tcBorders>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产品名称</w:t>
            </w:r>
          </w:p>
        </w:tc>
        <w:tc>
          <w:tcPr>
            <w:tcW w:w="6014" w:type="dxa"/>
            <w:tcBorders>
              <w:tl2br w:val="nil"/>
              <w:tr2bl w:val="nil"/>
            </w:tcBorders>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技术规格及要求</w:t>
            </w:r>
          </w:p>
        </w:tc>
        <w:tc>
          <w:tcPr>
            <w:tcW w:w="552" w:type="dxa"/>
            <w:tcBorders>
              <w:tl2br w:val="nil"/>
              <w:tr2bl w:val="nil"/>
            </w:tcBorders>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840" w:type="dxa"/>
            <w:tcBorders>
              <w:tl2br w:val="nil"/>
              <w:tr2bl w:val="nil"/>
            </w:tcBorders>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电影镜头</w:t>
            </w:r>
          </w:p>
        </w:tc>
        <w:tc>
          <w:tcPr>
            <w:tcW w:w="6014" w:type="dxa"/>
            <w:tcBorders>
              <w:tl2br w:val="nil"/>
              <w:tr2bl w:val="nil"/>
            </w:tcBorders>
            <w:noWrap/>
            <w:vAlign w:val="center"/>
          </w:tcPr>
          <w:p>
            <w:pPr>
              <w:widowControl/>
              <w:numPr>
                <w:ilvl w:val="0"/>
                <w:numId w:val="3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全画幅定焦电影镜头 6支</w:t>
            </w:r>
          </w:p>
          <w:p>
            <w:pPr>
              <w:widowControl/>
              <w:numPr>
                <w:ilvl w:val="0"/>
                <w:numId w:val="3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EF卡口</w:t>
            </w:r>
          </w:p>
          <w:p>
            <w:pPr>
              <w:widowControl/>
              <w:numPr>
                <w:ilvl w:val="0"/>
                <w:numId w:val="3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全套包含</w:t>
            </w:r>
            <w:r>
              <w:rPr>
                <w:rFonts w:asciiTheme="minorEastAsia" w:hAnsiTheme="minorEastAsia" w:eastAsiaTheme="minorEastAsia"/>
                <w:color w:val="000000" w:themeColor="text1"/>
                <w:sz w:val="24"/>
                <w14:textFill>
                  <w14:solidFill>
                    <w14:schemeClr w14:val="tx1"/>
                  </w14:solidFill>
                </w14:textFill>
              </w:rPr>
              <w:t>24/35/50/75/100/125</w:t>
            </w:r>
            <w:r>
              <w:rPr>
                <w:rFonts w:hint="eastAsia" w:asciiTheme="minorEastAsia" w:hAnsiTheme="minorEastAsia" w:eastAsiaTheme="minorEastAsia"/>
                <w:color w:val="000000" w:themeColor="text1"/>
                <w:sz w:val="24"/>
                <w14:textFill>
                  <w14:solidFill>
                    <w14:schemeClr w14:val="tx1"/>
                  </w14:solidFill>
                </w14:textFill>
              </w:rPr>
              <w:t>mm共</w:t>
            </w: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种焦段</w:t>
            </w:r>
          </w:p>
          <w:p>
            <w:pPr>
              <w:widowControl/>
              <w:numPr>
                <w:ilvl w:val="0"/>
                <w:numId w:val="3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画幅：全画幅</w:t>
            </w:r>
          </w:p>
          <w:p>
            <w:pPr>
              <w:pStyle w:val="5"/>
              <w:numPr>
                <w:ilvl w:val="0"/>
                <w:numId w:val="34"/>
              </w:num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最大光圈：T2.2</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镜头滤镜</w:t>
            </w:r>
          </w:p>
        </w:tc>
        <w:tc>
          <w:tcPr>
            <w:tcW w:w="6014" w:type="dxa"/>
            <w:tcBorders>
              <w:tl2br w:val="nil"/>
              <w:tr2bl w:val="nil"/>
            </w:tcBorders>
            <w:noWrap/>
            <w:vAlign w:val="center"/>
          </w:tcPr>
          <w:p>
            <w:pPr>
              <w:widowControl/>
              <w:numPr>
                <w:ilvl w:val="0"/>
                <w:numId w:val="3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镜头后置滤镜</w:t>
            </w:r>
          </w:p>
          <w:p>
            <w:pPr>
              <w:widowControl/>
              <w:numPr>
                <w:ilvl w:val="0"/>
                <w:numId w:val="3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包含</w:t>
            </w:r>
            <w:r>
              <w:rPr>
                <w:rFonts w:asciiTheme="minorEastAsia" w:hAnsiTheme="minorEastAsia" w:eastAsiaTheme="minorEastAsia"/>
                <w:color w:val="000000" w:themeColor="text1"/>
                <w:sz w:val="24"/>
                <w14:textFill>
                  <w14:solidFill>
                    <w14:schemeClr w14:val="tx1"/>
                  </w14:solidFill>
                </w14:textFill>
              </w:rPr>
              <w:t>ND</w:t>
            </w:r>
            <w:r>
              <w:rPr>
                <w:rFonts w:hint="eastAsia" w:asciiTheme="minorEastAsia" w:hAnsiTheme="minorEastAsia" w:eastAsiaTheme="minorEastAsia"/>
                <w:color w:val="000000" w:themeColor="text1"/>
                <w:sz w:val="24"/>
                <w14:textFill>
                  <w14:solidFill>
                    <w14:schemeClr w14:val="tx1"/>
                  </w14:solidFill>
                </w14:textFill>
              </w:rPr>
              <w:t>滤镜</w:t>
            </w:r>
            <w:r>
              <w:rPr>
                <w:rFonts w:asciiTheme="minorEastAsia" w:hAnsiTheme="minorEastAsia" w:eastAsiaTheme="minorEastAsia"/>
                <w:color w:val="000000" w:themeColor="text1"/>
                <w:sz w:val="24"/>
                <w14:textFill>
                  <w14:solidFill>
                    <w14:schemeClr w14:val="tx1"/>
                  </w14:solidFill>
                </w14:textFill>
              </w:rPr>
              <w:t>0.6/0.9/1.2，</w:t>
            </w:r>
            <w:r>
              <w:rPr>
                <w:rFonts w:hint="eastAsia" w:asciiTheme="minorEastAsia" w:hAnsiTheme="minorEastAsia" w:eastAsiaTheme="minorEastAsia"/>
                <w:color w:val="000000" w:themeColor="text1"/>
                <w:sz w:val="24"/>
                <w14:textFill>
                  <w14:solidFill>
                    <w14:schemeClr w14:val="tx1"/>
                  </w14:solidFill>
                </w14:textFill>
              </w:rPr>
              <w:t>黑柔滤镜</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特效滤镜</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镜头太空箱</w:t>
            </w:r>
          </w:p>
        </w:tc>
        <w:tc>
          <w:tcPr>
            <w:tcW w:w="6014" w:type="dxa"/>
            <w:tcBorders>
              <w:tl2br w:val="nil"/>
              <w:tr2bl w:val="nil"/>
            </w:tcBorders>
            <w:noWrap/>
            <w:vAlign w:val="center"/>
          </w:tcPr>
          <w:p>
            <w:pPr>
              <w:widowControl/>
              <w:numPr>
                <w:ilvl w:val="0"/>
                <w:numId w:val="3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电影镜头设备</w:t>
            </w:r>
            <w:r>
              <w:rPr>
                <w:rFonts w:hint="eastAsia" w:asciiTheme="minorEastAsia" w:hAnsiTheme="minorEastAsia" w:eastAsiaTheme="minorEastAsia"/>
                <w:color w:val="000000" w:themeColor="text1"/>
                <w:sz w:val="24"/>
                <w14:textFill>
                  <w14:solidFill>
                    <w14:schemeClr w14:val="tx1"/>
                  </w14:solidFill>
                </w14:textFill>
              </w:rPr>
              <w:t>收纳</w:t>
            </w:r>
            <w:r>
              <w:rPr>
                <w:rFonts w:asciiTheme="minorEastAsia" w:hAnsiTheme="minorEastAsia" w:eastAsiaTheme="minorEastAsia"/>
                <w:color w:val="000000" w:themeColor="text1"/>
                <w:sz w:val="24"/>
                <w14:textFill>
                  <w14:solidFill>
                    <w14:schemeClr w14:val="tx1"/>
                  </w14:solidFill>
                </w14:textFill>
              </w:rPr>
              <w:t>定制航空安全防护防潮箱</w:t>
            </w:r>
          </w:p>
          <w:p>
            <w:pPr>
              <w:widowControl/>
              <w:numPr>
                <w:ilvl w:val="0"/>
                <w:numId w:val="3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性能包涵</w:t>
            </w:r>
            <w:r>
              <w:rPr>
                <w:rFonts w:asciiTheme="minorEastAsia" w:hAnsiTheme="minorEastAsia" w:eastAsiaTheme="minorEastAsia"/>
                <w:color w:val="000000" w:themeColor="text1"/>
                <w:sz w:val="24"/>
                <w14:textFill>
                  <w14:solidFill>
                    <w14:schemeClr w14:val="tx1"/>
                  </w14:solidFill>
                </w14:textFill>
              </w:rPr>
              <w:t>超轻、防水、防潮</w:t>
            </w:r>
          </w:p>
          <w:p>
            <w:pPr>
              <w:widowControl/>
              <w:numPr>
                <w:ilvl w:val="0"/>
                <w:numId w:val="3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可以</w:t>
            </w:r>
            <w:r>
              <w:rPr>
                <w:rFonts w:asciiTheme="minorEastAsia" w:hAnsiTheme="minorEastAsia" w:eastAsiaTheme="minorEastAsia"/>
                <w:color w:val="000000" w:themeColor="text1"/>
                <w:sz w:val="24"/>
                <w14:textFill>
                  <w14:solidFill>
                    <w14:schemeClr w14:val="tx1"/>
                  </w14:solidFill>
                </w14:textFill>
              </w:rPr>
              <w:t>航空托运</w:t>
            </w:r>
          </w:p>
          <w:p>
            <w:pPr>
              <w:widowControl/>
              <w:numPr>
                <w:ilvl w:val="0"/>
                <w:numId w:val="3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内带</w:t>
            </w:r>
            <w:r>
              <w:rPr>
                <w:rFonts w:asciiTheme="minorEastAsia" w:hAnsiTheme="minorEastAsia" w:eastAsiaTheme="minorEastAsia"/>
                <w:color w:val="000000" w:themeColor="text1"/>
                <w:sz w:val="24"/>
                <w14:textFill>
                  <w14:solidFill>
                    <w14:schemeClr w14:val="tx1"/>
                  </w14:solidFill>
                </w14:textFill>
              </w:rPr>
              <w:t>TP隔断</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摄影配件</w:t>
            </w:r>
          </w:p>
        </w:tc>
        <w:tc>
          <w:tcPr>
            <w:tcW w:w="6014" w:type="dxa"/>
            <w:tcBorders>
              <w:tl2br w:val="nil"/>
              <w:tr2bl w:val="nil"/>
            </w:tcBorders>
            <w:noWrap/>
            <w:vAlign w:val="center"/>
          </w:tcPr>
          <w:p>
            <w:pPr>
              <w:widowControl/>
              <w:numPr>
                <w:ilvl w:val="0"/>
                <w:numId w:val="3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适用</w:t>
            </w:r>
            <w:r>
              <w:rPr>
                <w:rFonts w:asciiTheme="minorEastAsia" w:hAnsiTheme="minorEastAsia" w:eastAsiaTheme="minorEastAsia"/>
                <w:color w:val="000000" w:themeColor="text1"/>
                <w:sz w:val="24"/>
                <w14:textFill>
                  <w14:solidFill>
                    <w14:schemeClr w14:val="tx1"/>
                  </w14:solidFill>
                </w14:textFill>
              </w:rPr>
              <w:t>Dolly影视轨道车</w:t>
            </w:r>
            <w:r>
              <w:rPr>
                <w:rFonts w:hint="eastAsia" w:asciiTheme="minorEastAsia" w:hAnsiTheme="minorEastAsia" w:eastAsiaTheme="minorEastAsia"/>
                <w:color w:val="000000" w:themeColor="text1"/>
                <w:sz w:val="24"/>
                <w14:textFill>
                  <w14:solidFill>
                    <w14:schemeClr w14:val="tx1"/>
                  </w14:solidFill>
                </w14:textFill>
              </w:rPr>
              <w:t>可用</w:t>
            </w:r>
          </w:p>
          <w:p>
            <w:pPr>
              <w:widowControl/>
              <w:numPr>
                <w:ilvl w:val="0"/>
                <w:numId w:val="37"/>
              </w:numPr>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1.6米</w:t>
            </w:r>
          </w:p>
          <w:p>
            <w:pPr>
              <w:widowControl/>
              <w:numPr>
                <w:ilvl w:val="0"/>
                <w:numId w:val="37"/>
              </w:numPr>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直轨</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摄影配件</w:t>
            </w:r>
          </w:p>
        </w:tc>
        <w:tc>
          <w:tcPr>
            <w:tcW w:w="6014" w:type="dxa"/>
            <w:tcBorders>
              <w:tl2br w:val="nil"/>
              <w:tr2bl w:val="nil"/>
            </w:tcBorders>
            <w:noWrap/>
            <w:vAlign w:val="center"/>
          </w:tcPr>
          <w:p>
            <w:pPr>
              <w:widowControl/>
              <w:numPr>
                <w:ilvl w:val="0"/>
                <w:numId w:val="3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适用Dolly影视轨道车可用</w:t>
            </w:r>
          </w:p>
          <w:p>
            <w:pPr>
              <w:widowControl/>
              <w:numPr>
                <w:ilvl w:val="0"/>
                <w:numId w:val="3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米</w:t>
            </w:r>
          </w:p>
          <w:p>
            <w:pPr>
              <w:widowControl/>
              <w:numPr>
                <w:ilvl w:val="0"/>
                <w:numId w:val="3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弯轨</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摄影配件</w:t>
            </w:r>
          </w:p>
        </w:tc>
        <w:tc>
          <w:tcPr>
            <w:tcW w:w="6014" w:type="dxa"/>
            <w:tcBorders>
              <w:tl2br w:val="nil"/>
              <w:tr2bl w:val="nil"/>
            </w:tcBorders>
            <w:noWrap/>
            <w:vAlign w:val="center"/>
          </w:tcPr>
          <w:p>
            <w:pPr>
              <w:widowControl/>
              <w:numPr>
                <w:ilvl w:val="0"/>
                <w:numId w:val="3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折叠小推车</w:t>
            </w:r>
          </w:p>
          <w:p>
            <w:pPr>
              <w:widowControl/>
              <w:numPr>
                <w:ilvl w:val="0"/>
                <w:numId w:val="3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车架材质：钢</w:t>
            </w:r>
          </w:p>
          <w:p>
            <w:pPr>
              <w:widowControl/>
              <w:numPr>
                <w:ilvl w:val="0"/>
                <w:numId w:val="3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车身容量：200L以上</w:t>
            </w:r>
          </w:p>
          <w:p>
            <w:pPr>
              <w:widowControl/>
              <w:numPr>
                <w:ilvl w:val="0"/>
                <w:numId w:val="3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折叠方式：四面聚拢</w:t>
            </w:r>
          </w:p>
          <w:p>
            <w:pPr>
              <w:widowControl/>
              <w:numPr>
                <w:ilvl w:val="0"/>
                <w:numId w:val="3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车轮有轴承</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三脚架</w:t>
            </w:r>
          </w:p>
        </w:tc>
        <w:tc>
          <w:tcPr>
            <w:tcW w:w="6014" w:type="dxa"/>
            <w:tcBorders>
              <w:tl2br w:val="nil"/>
              <w:tr2bl w:val="nil"/>
            </w:tcBorders>
            <w:noWrap/>
            <w:vAlign w:val="center"/>
          </w:tcPr>
          <w:p>
            <w:pPr>
              <w:widowControl/>
              <w:numPr>
                <w:ilvl w:val="0"/>
                <w:numId w:val="4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包含高、中、低</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个电影级三脚架</w:t>
            </w:r>
          </w:p>
          <w:p>
            <w:pPr>
              <w:widowControl/>
              <w:numPr>
                <w:ilvl w:val="0"/>
                <w:numId w:val="4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材质：铝合金</w:t>
            </w:r>
          </w:p>
          <w:p>
            <w:pPr>
              <w:widowControl/>
              <w:numPr>
                <w:ilvl w:val="0"/>
                <w:numId w:val="4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商品承重：20kg及以上</w:t>
            </w:r>
          </w:p>
          <w:p>
            <w:pPr>
              <w:pStyle w:val="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4、云台100mm碗口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8</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云台</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1、商品承重：20kg及以上</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2、云台100mm碗口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9</w:t>
            </w:r>
          </w:p>
        </w:tc>
        <w:tc>
          <w:tcPr>
            <w:tcW w:w="1366" w:type="dxa"/>
            <w:tcBorders>
              <w:tl2br w:val="nil"/>
              <w:tr2bl w:val="nil"/>
            </w:tcBorders>
            <w:noWrap/>
            <w:vAlign w:val="center"/>
          </w:tcPr>
          <w:p>
            <w:pPr>
              <w:widowControl/>
              <w:ind w:firstLine="240" w:firstLineChars="100"/>
              <w:jc w:val="left"/>
              <w:textAlignment w:val="center"/>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苹果箱</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1、带四合一功能</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2、带磁吸功能</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numPr>
                <w:ilvl w:val="0"/>
                <w:numId w:val="1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摄像机多功能顶板</w:t>
            </w:r>
          </w:p>
          <w:p>
            <w:pPr>
              <w:widowControl/>
              <w:numPr>
                <w:ilvl w:val="0"/>
                <w:numId w:val="1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适配索尼fx</w:t>
            </w:r>
            <w:r>
              <w:rPr>
                <w:rFonts w:asciiTheme="minorEastAsia" w:hAnsiTheme="minorEastAsia" w:eastAsiaTheme="minorEastAsia"/>
                <w:color w:val="000000" w:themeColor="text1"/>
                <w:sz w:val="24"/>
                <w14:textFill>
                  <w14:solidFill>
                    <w14:schemeClr w14:val="tx1"/>
                  </w14:solidFill>
                </w14:textFill>
              </w:rPr>
              <w:t>6</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11</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numPr>
                <w:ilvl w:val="0"/>
                <w:numId w:val="1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摄像机全能型肩架</w:t>
            </w:r>
          </w:p>
          <w:p>
            <w:pPr>
              <w:widowControl/>
              <w:numPr>
                <w:ilvl w:val="0"/>
                <w:numId w:val="1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适配索尼fx</w:t>
            </w:r>
            <w:r>
              <w:rPr>
                <w:rFonts w:asciiTheme="minorEastAsia" w:hAnsiTheme="minorEastAsia" w:eastAsiaTheme="minorEastAsia"/>
                <w:color w:val="000000" w:themeColor="text1"/>
                <w:sz w:val="24"/>
                <w14:textFill>
                  <w14:solidFill>
                    <w14:schemeClr w14:val="tx1"/>
                  </w14:solidFill>
                </w14:textFill>
              </w:rPr>
              <w:t>6</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12</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150mm导轨</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13</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200mm导轨</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14</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遮光斗套装</w:t>
            </w:r>
          </w:p>
        </w:tc>
        <w:tc>
          <w:tcPr>
            <w:tcW w:w="6014" w:type="dxa"/>
            <w:tcBorders>
              <w:tl2br w:val="nil"/>
              <w:tr2bl w:val="nil"/>
            </w:tcBorders>
            <w:noWrap/>
            <w:vAlign w:val="center"/>
          </w:tcPr>
          <w:p>
            <w:pPr>
              <w:pStyle w:val="20"/>
              <w:widowControl/>
              <w:numPr>
                <w:ilvl w:val="0"/>
                <w:numId w:val="41"/>
              </w:numPr>
              <w:ind w:firstLineChars="0"/>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功能包括</w:t>
            </w:r>
            <w:r>
              <w:rPr>
                <w:rFonts w:asciiTheme="minorEastAsia" w:hAnsiTheme="minorEastAsia" w:eastAsiaTheme="minorEastAsia"/>
                <w:color w:val="000000" w:themeColor="text1"/>
                <w:sz w:val="24"/>
                <w14:textFill>
                  <w14:solidFill>
                    <w14:schemeClr w14:val="tx1"/>
                  </w14:solidFill>
                </w14:textFill>
              </w:rPr>
              <w:t>：</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0.3-2.7档可变ND</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专用无线马达控制</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采用无线控制</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15</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无线跟焦器套装</w:t>
            </w:r>
          </w:p>
        </w:tc>
        <w:tc>
          <w:tcPr>
            <w:tcW w:w="6014" w:type="dxa"/>
            <w:tcBorders>
              <w:tl2br w:val="nil"/>
              <w:tr2bl w:val="nil"/>
            </w:tcBorders>
            <w:noWrap/>
            <w:vAlign w:val="center"/>
          </w:tcPr>
          <w:p>
            <w:pPr>
              <w:pStyle w:val="20"/>
              <w:widowControl/>
              <w:numPr>
                <w:ilvl w:val="0"/>
                <w:numId w:val="42"/>
              </w:numPr>
              <w:ind w:firstLineChars="0"/>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可三个马达串联, 聚焦·变焦·光圈，三通道一起使用</w:t>
            </w:r>
          </w:p>
          <w:p>
            <w:pPr>
              <w:pStyle w:val="20"/>
              <w:widowControl/>
              <w:numPr>
                <w:ilvl w:val="0"/>
                <w:numId w:val="42"/>
              </w:numPr>
              <w:ind w:firstLineChars="0"/>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H-M-L (高中低频段)的发射和接收端覆盖</w:t>
            </w:r>
          </w:p>
          <w:p>
            <w:pPr>
              <w:widowControl/>
              <w:numPr>
                <w:ilvl w:val="0"/>
                <w:numId w:val="4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通讯距离：300m-500m</w:t>
            </w:r>
          </w:p>
          <w:p>
            <w:pPr>
              <w:pStyle w:val="5"/>
              <w:numPr>
                <w:ilvl w:val="0"/>
                <w:numId w:val="42"/>
              </w:num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包含左右手柄</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16</w:t>
            </w:r>
          </w:p>
        </w:tc>
        <w:tc>
          <w:tcPr>
            <w:tcW w:w="1366"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轻型跟焦器</w:t>
            </w:r>
          </w:p>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p>
        </w:tc>
        <w:tc>
          <w:tcPr>
            <w:tcW w:w="6014" w:type="dxa"/>
            <w:tcBorders>
              <w:tl2br w:val="nil"/>
              <w:tr2bl w:val="nil"/>
            </w:tcBorders>
            <w:noWrap/>
            <w:vAlign w:val="center"/>
          </w:tcPr>
          <w:p>
            <w:pPr>
              <w:widowControl/>
              <w:numPr>
                <w:ilvl w:val="0"/>
                <w:numId w:val="4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适配机型通用大部分摄影机</w:t>
            </w:r>
          </w:p>
          <w:p>
            <w:pPr>
              <w:pStyle w:val="5"/>
              <w:numPr>
                <w:ilvl w:val="0"/>
                <w:numId w:val="43"/>
              </w:num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导轨15*100mm</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17</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numPr>
                <w:ilvl w:val="0"/>
                <w:numId w:val="4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产品名称</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万向怪手</w:t>
            </w:r>
          </w:p>
          <w:p>
            <w:pPr>
              <w:widowControl/>
              <w:numPr>
                <w:ilvl w:val="0"/>
                <w:numId w:val="4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主要材质:铝合金</w:t>
            </w:r>
          </w:p>
          <w:p>
            <w:pPr>
              <w:widowControl/>
              <w:numPr>
                <w:ilvl w:val="0"/>
                <w:numId w:val="4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重承:4.5KG</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18</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摄影机</w:t>
            </w:r>
            <w:r>
              <w:rPr>
                <w:rFonts w:hint="eastAsia" w:cs="宋体" w:asciiTheme="minorEastAsia" w:hAnsiTheme="minorEastAsia" w:eastAsiaTheme="minorEastAsia"/>
                <w:color w:val="000000" w:themeColor="text1"/>
                <w:sz w:val="24"/>
                <w14:textFill>
                  <w14:solidFill>
                    <w14:schemeClr w14:val="tx1"/>
                  </w14:solidFill>
                </w14:textFill>
              </w:rPr>
              <w:t>配件</w:t>
            </w:r>
          </w:p>
        </w:tc>
        <w:tc>
          <w:tcPr>
            <w:tcW w:w="6014" w:type="dxa"/>
            <w:tcBorders>
              <w:tl2br w:val="nil"/>
              <w:tr2bl w:val="nil"/>
            </w:tcBorders>
            <w:noWrap/>
            <w:vAlign w:val="center"/>
          </w:tcPr>
          <w:p>
            <w:pPr>
              <w:widowControl/>
              <w:numPr>
                <w:ilvl w:val="0"/>
                <w:numId w:val="4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摄影马鞍袋</w:t>
            </w:r>
          </w:p>
          <w:p>
            <w:pPr>
              <w:widowControl/>
              <w:numPr>
                <w:ilvl w:val="0"/>
                <w:numId w:val="4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支撑D罩杯</w:t>
            </w:r>
            <w:r>
              <w:rPr>
                <w:rFonts w:asciiTheme="minorEastAsia" w:hAnsiTheme="minorEastAsia" w:eastAsiaTheme="minorEastAsia"/>
                <w:color w:val="000000" w:themeColor="text1"/>
                <w:sz w:val="24"/>
                <w14:textFill>
                  <w14:solidFill>
                    <w14:schemeClr w14:val="tx1"/>
                  </w14:solidFill>
                </w14:textFill>
              </w:rPr>
              <w:t> </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19</w:t>
            </w:r>
          </w:p>
        </w:tc>
        <w:tc>
          <w:tcPr>
            <w:tcW w:w="1366" w:type="dxa"/>
            <w:tcBorders>
              <w:tl2br w:val="nil"/>
              <w:tr2bl w:val="nil"/>
            </w:tcBorders>
            <w:noWrap/>
            <w:vAlign w:val="center"/>
          </w:tcPr>
          <w:p>
            <w:pPr>
              <w:pStyle w:val="4"/>
              <w:numPr>
                <w:ilvl w:val="0"/>
                <w:numId w:val="0"/>
              </w:numPr>
              <w:shd w:val="clear" w:color="auto" w:fill="FFFFFF"/>
              <w:spacing w:before="0" w:after="0"/>
              <w:rPr>
                <w:rFonts w:cs="宋体" w:asciiTheme="minorEastAsia" w:hAnsiTheme="minorEastAsia" w:eastAsiaTheme="minorEastAsia"/>
                <w:b w:val="0"/>
                <w:color w:val="000000" w:themeColor="text1"/>
                <w:kern w:val="2"/>
                <w:sz w:val="24"/>
                <w:szCs w:val="24"/>
                <w:lang w:bidi="ar"/>
                <w14:textFill>
                  <w14:solidFill>
                    <w14:schemeClr w14:val="tx1"/>
                  </w14:solidFill>
                </w14:textFill>
              </w:rPr>
            </w:pPr>
            <w:r>
              <w:rPr>
                <w:rFonts w:hint="eastAsia" w:cs="宋体" w:asciiTheme="minorEastAsia" w:hAnsiTheme="minorEastAsia" w:eastAsiaTheme="minorEastAsia"/>
                <w:b w:val="0"/>
                <w:color w:val="000000" w:themeColor="text1"/>
                <w:kern w:val="2"/>
                <w:sz w:val="24"/>
                <w:szCs w:val="24"/>
                <w14:textFill>
                  <w14:solidFill>
                    <w14:schemeClr w14:val="tx1"/>
                  </w14:solidFill>
                </w14:textFill>
              </w:rPr>
              <w:t>测光表</w:t>
            </w:r>
          </w:p>
        </w:tc>
        <w:tc>
          <w:tcPr>
            <w:tcW w:w="6014" w:type="dxa"/>
            <w:tcBorders>
              <w:tl2br w:val="nil"/>
              <w:tr2bl w:val="nil"/>
            </w:tcBorders>
            <w:noWrap/>
            <w:vAlign w:val="center"/>
          </w:tcPr>
          <w:p>
            <w:pPr>
              <w:widowControl/>
              <w:numPr>
                <w:ilvl w:val="0"/>
                <w:numId w:val="4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测光头可旋转</w:t>
            </w:r>
          </w:p>
          <w:p>
            <w:pPr>
              <w:widowControl/>
              <w:numPr>
                <w:ilvl w:val="0"/>
                <w:numId w:val="4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多种测光模式</w:t>
            </w:r>
          </w:p>
          <w:p>
            <w:pPr>
              <w:widowControl/>
              <w:numPr>
                <w:ilvl w:val="0"/>
                <w:numId w:val="4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LED显示屏</w:t>
            </w:r>
          </w:p>
          <w:p>
            <w:pPr>
              <w:widowControl/>
              <w:numPr>
                <w:ilvl w:val="0"/>
                <w:numId w:val="4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测量照度范围：0.1-2000000LX</w:t>
            </w:r>
          </w:p>
        </w:tc>
        <w:tc>
          <w:tcPr>
            <w:tcW w:w="55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20</w:t>
            </w:r>
          </w:p>
        </w:tc>
        <w:tc>
          <w:tcPr>
            <w:tcW w:w="1366"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录音机</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1、可拆卸话筒音头</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2、四个配置XLR/TRS复合接口</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3、内置低阻滤波器</w:t>
            </w:r>
          </w:p>
        </w:tc>
        <w:tc>
          <w:tcPr>
            <w:tcW w:w="55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p>
        </w:tc>
        <w:tc>
          <w:tcPr>
            <w:tcW w:w="1366"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录音附件</w:t>
            </w:r>
          </w:p>
        </w:tc>
        <w:tc>
          <w:tcPr>
            <w:tcW w:w="6014" w:type="dxa"/>
            <w:tcBorders>
              <w:tl2br w:val="nil"/>
              <w:tr2bl w:val="nil"/>
            </w:tcBorders>
            <w:noWrap/>
            <w:vAlign w:val="center"/>
          </w:tcPr>
          <w:p>
            <w:pPr>
              <w:widowControl/>
              <w:numPr>
                <w:ilvl w:val="0"/>
                <w:numId w:val="2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材质：碳纤维</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2、内含收纳包、话筒干套装</w:t>
            </w:r>
          </w:p>
        </w:tc>
        <w:tc>
          <w:tcPr>
            <w:tcW w:w="55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snapToGrid w:val="0"/>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w:t>
            </w:r>
          </w:p>
        </w:tc>
        <w:tc>
          <w:tcPr>
            <w:tcW w:w="1366"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V扣电池</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1、电压：14.8V</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2、容量：18600mAh</w:t>
            </w:r>
          </w:p>
        </w:tc>
        <w:tc>
          <w:tcPr>
            <w:tcW w:w="552"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spacing w:beforeAutospacing="1" w:afterAutospacing="1"/>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V扣电池充电器</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1输入:AC 100V-240V 50/60Hz</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2充电输出:DC 14V-20V.1.9A</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3适配输出:DC 13.8V,3.6A</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4适用电池:S型电池( SONY )</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24</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移动电站</w:t>
            </w:r>
          </w:p>
        </w:tc>
        <w:tc>
          <w:tcPr>
            <w:tcW w:w="6014" w:type="dxa"/>
            <w:tcBorders>
              <w:tl2br w:val="nil"/>
              <w:tr2bl w:val="nil"/>
            </w:tcBorders>
            <w:noWrap/>
            <w:vAlign w:val="center"/>
          </w:tcPr>
          <w:p>
            <w:pPr>
              <w:widowControl/>
              <w:numPr>
                <w:ilvl w:val="0"/>
                <w:numId w:val="4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电池容量2160Wh(600000mAh/3.6V)</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2、电池类型鲤离子电池</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3、额定容量290000mAh(5V/3</w:t>
            </w:r>
            <w:r>
              <w:rPr>
                <w:rFonts w:asciiTheme="minorEastAsia" w:hAnsiTheme="minorEastAsia" w:eastAsiaTheme="minorEastAsia"/>
                <w:color w:val="000000" w:themeColor="text1"/>
                <w:sz w:val="24"/>
                <w14:textFill>
                  <w14:solidFill>
                    <w14:schemeClr w14:val="tx1"/>
                  </w14:solidFill>
                </w14:textFill>
              </w:rPr>
              <w:t>A)</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25</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防潮柜</w:t>
            </w:r>
          </w:p>
        </w:tc>
        <w:tc>
          <w:tcPr>
            <w:tcW w:w="6014" w:type="dxa"/>
            <w:tcBorders>
              <w:tl2br w:val="nil"/>
              <w:tr2bl w:val="nil"/>
            </w:tcBorders>
            <w:noWrap/>
            <w:vAlign w:val="center"/>
          </w:tcPr>
          <w:p>
            <w:pPr>
              <w:widowControl/>
              <w:numPr>
                <w:ilvl w:val="0"/>
                <w:numId w:val="48"/>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显示方式:微电脑数控显示器</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2、输入电压:5VDC士10%</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3、温度显示范围:0°C~80°C</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4、湿度设置范围:259%6RH~60%RH</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5、箱体材质:钢板</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6、箱门材质:钢化玻璃</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26</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镜头转接环</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1、规格：PL-E</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2、材质：不锈钢卡口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27</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镜头转接环</w:t>
            </w:r>
          </w:p>
        </w:tc>
        <w:tc>
          <w:tcPr>
            <w:tcW w:w="6014" w:type="dxa"/>
            <w:tcBorders>
              <w:tl2br w:val="nil"/>
              <w:tr2bl w:val="nil"/>
            </w:tcBorders>
            <w:noWrap/>
            <w:vAlign w:val="center"/>
          </w:tcPr>
          <w:p>
            <w:pPr>
              <w:widowControl/>
              <w:numPr>
                <w:ilvl w:val="0"/>
                <w:numId w:val="2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规格：PL-EF</w:t>
            </w:r>
          </w:p>
          <w:p>
            <w:pPr>
              <w:pStyle w:val="5"/>
              <w:numPr>
                <w:ilvl w:val="0"/>
                <w:numId w:val="23"/>
              </w:num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材质：不锈钢卡口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28</w:t>
            </w:r>
          </w:p>
        </w:tc>
        <w:tc>
          <w:tcPr>
            <w:tcW w:w="1366"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监视器</w:t>
            </w:r>
          </w:p>
        </w:tc>
        <w:tc>
          <w:tcPr>
            <w:tcW w:w="6014" w:type="dxa"/>
            <w:tcBorders>
              <w:tl2br w:val="nil"/>
              <w:tr2bl w:val="nil"/>
            </w:tcBorders>
            <w:noWrap/>
            <w:vAlign w:val="center"/>
          </w:tcPr>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屏幕尺寸21.5英寸</w:t>
            </w:r>
          </w:p>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物理分辨率1920x1080</w:t>
            </w:r>
          </w:p>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可视角度178°(HV)</w:t>
            </w:r>
          </w:p>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对比度1000:1</w:t>
            </w:r>
          </w:p>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亮度400cd/m2</w:t>
            </w:r>
          </w:p>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输入接口4x HDMI、2xBNC(SDI)、USB</w:t>
            </w:r>
          </w:p>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输出接口1xHDMI、1xBNC(SDI)</w:t>
            </w:r>
          </w:p>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耳机音频3.5mm立体声耳机口</w:t>
            </w:r>
          </w:p>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扬声器x2</w:t>
            </w:r>
          </w:p>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功耗26W</w:t>
            </w:r>
          </w:p>
          <w:p>
            <w:pPr>
              <w:widowControl/>
              <w:numPr>
                <w:ilvl w:val="0"/>
                <w:numId w:val="49"/>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输出电压AC110-240V/DC12-24V</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29</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无线图传</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1、配备3 个接口，SDI 输入、HDMI 输入、HDMI环出接口，兼顾更多专业设备传输</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2、屏幕 Rec.709色域近乎全覆盖，视频显示色彩精准传神</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3、支持 2 个接收器或 4个 APP 同时监看</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30</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无线图传</w:t>
            </w:r>
          </w:p>
          <w:p>
            <w:pPr>
              <w:pStyle w:val="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接收端</w:t>
            </w:r>
            <w:r>
              <w:rPr>
                <w:rFonts w:asciiTheme="minorEastAsia" w:hAnsiTheme="minorEastAsia" w:eastAsiaTheme="minorEastAsia"/>
                <w:color w:val="000000" w:themeColor="text1"/>
                <w:sz w:val="24"/>
                <w14:textFill>
                  <w14:solidFill>
                    <w14:schemeClr w14:val="tx1"/>
                  </w14:solidFill>
                </w14:textFill>
              </w:rPr>
              <w:t>）</w:t>
            </w:r>
          </w:p>
        </w:tc>
        <w:tc>
          <w:tcPr>
            <w:tcW w:w="6014" w:type="dxa"/>
            <w:tcBorders>
              <w:tl2br w:val="nil"/>
              <w:tr2bl w:val="nil"/>
            </w:tcBorders>
            <w:noWrap/>
            <w:vAlign w:val="center"/>
          </w:tcPr>
          <w:p>
            <w:pPr>
              <w:widowControl/>
              <w:numPr>
                <w:ilvl w:val="0"/>
                <w:numId w:val="5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图传(接收端)</w:t>
            </w:r>
          </w:p>
          <w:p>
            <w:pPr>
              <w:widowControl/>
              <w:numPr>
                <w:ilvl w:val="0"/>
                <w:numId w:val="5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支持 4K30fps 格式视频、12~20M高码流传输拍摄 4K，实时传输监看4K，</w:t>
            </w:r>
          </w:p>
          <w:p>
            <w:pPr>
              <w:widowControl/>
              <w:numPr>
                <w:ilvl w:val="0"/>
                <w:numId w:val="50"/>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配备 SDI+HDMI 双接口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图传SDI线</w:t>
            </w:r>
          </w:p>
        </w:tc>
        <w:tc>
          <w:tcPr>
            <w:tcW w:w="6014" w:type="dxa"/>
            <w:tcBorders>
              <w:tl2br w:val="nil"/>
              <w:tr2bl w:val="nil"/>
            </w:tcBorders>
            <w:noWrap/>
            <w:vAlign w:val="center"/>
          </w:tcPr>
          <w:p>
            <w:pPr>
              <w:widowControl/>
              <w:numPr>
                <w:ilvl w:val="0"/>
                <w:numId w:val="5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75-3 5接口</w:t>
            </w:r>
          </w:p>
          <w:p>
            <w:pPr>
              <w:widowControl/>
              <w:numPr>
                <w:ilvl w:val="0"/>
                <w:numId w:val="5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BNC高清HD线</w:t>
            </w:r>
          </w:p>
          <w:p>
            <w:pPr>
              <w:widowControl/>
              <w:numPr>
                <w:ilvl w:val="0"/>
                <w:numId w:val="51"/>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1.5米</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32</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图传SDI线</w:t>
            </w:r>
          </w:p>
        </w:tc>
        <w:tc>
          <w:tcPr>
            <w:tcW w:w="6014" w:type="dxa"/>
            <w:tcBorders>
              <w:tl2br w:val="nil"/>
              <w:tr2bl w:val="nil"/>
            </w:tcBorders>
            <w:noWrap/>
            <w:vAlign w:val="center"/>
          </w:tcPr>
          <w:p>
            <w:pPr>
              <w:widowControl/>
              <w:numPr>
                <w:ilvl w:val="0"/>
                <w:numId w:val="5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75-3 5接口</w:t>
            </w:r>
          </w:p>
          <w:p>
            <w:pPr>
              <w:widowControl/>
              <w:numPr>
                <w:ilvl w:val="0"/>
                <w:numId w:val="5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BNC高清HD线</w:t>
            </w:r>
          </w:p>
          <w:p>
            <w:pPr>
              <w:widowControl/>
              <w:numPr>
                <w:ilvl w:val="0"/>
                <w:numId w:val="5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30</w:t>
            </w:r>
            <w:r>
              <w:rPr>
                <w:rFonts w:hint="eastAsia" w:asciiTheme="minorEastAsia" w:hAnsiTheme="minorEastAsia" w:eastAsiaTheme="minorEastAsia"/>
                <w:color w:val="000000" w:themeColor="text1"/>
                <w:sz w:val="24"/>
                <w14:textFill>
                  <w14:solidFill>
                    <w14:schemeClr w14:val="tx1"/>
                  </w14:solidFill>
                </w14:textFill>
              </w:rPr>
              <w:t>米</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图传HDMI线</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1、HDMI2.0</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0</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米</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对讲机</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1、电池容量2190mAh (8.3Wh)</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2、电池标称电压3.8V</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3、接口类型Type-C</w:t>
            </w:r>
          </w:p>
          <w:p>
            <w:pPr>
              <w:widowControl/>
              <w:numPr>
                <w:ilvl w:val="0"/>
                <w:numId w:val="5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发射功率4W</w:t>
            </w:r>
          </w:p>
          <w:p>
            <w:pPr>
              <w:widowControl/>
              <w:numPr>
                <w:ilvl w:val="0"/>
                <w:numId w:val="5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对讲距离：1-5KM</w:t>
            </w:r>
          </w:p>
          <w:p>
            <w:pPr>
              <w:widowControl/>
              <w:numPr>
                <w:ilvl w:val="0"/>
                <w:numId w:val="52"/>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支持蓝牙耳机</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导演车</w:t>
            </w:r>
          </w:p>
        </w:tc>
        <w:tc>
          <w:tcPr>
            <w:tcW w:w="6014" w:type="dxa"/>
            <w:tcBorders>
              <w:tl2br w:val="nil"/>
              <w:tr2bl w:val="nil"/>
            </w:tcBorders>
            <w:noWrap/>
            <w:vAlign w:val="center"/>
          </w:tcPr>
          <w:p>
            <w:pPr>
              <w:widowControl/>
              <w:numPr>
                <w:ilvl w:val="0"/>
                <w:numId w:val="5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承受重量500KG</w:t>
            </w:r>
          </w:p>
          <w:p>
            <w:pPr>
              <w:widowControl/>
              <w:numPr>
                <w:ilvl w:val="0"/>
                <w:numId w:val="5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全车布满扩展接口,为导演用于DIT、摄影、录音等方面,以及电池管理的多功能扩展</w:t>
            </w:r>
          </w:p>
          <w:p>
            <w:pPr>
              <w:widowControl/>
              <w:numPr>
                <w:ilvl w:val="0"/>
                <w:numId w:val="5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全快拆设计</w:t>
            </w:r>
          </w:p>
          <w:p>
            <w:pPr>
              <w:widowControl/>
              <w:numPr>
                <w:ilvl w:val="0"/>
                <w:numId w:val="53"/>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可进行10cm升降</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无线录音话筒</w:t>
            </w:r>
          </w:p>
        </w:tc>
        <w:tc>
          <w:tcPr>
            <w:tcW w:w="6014" w:type="dxa"/>
            <w:tcBorders>
              <w:tl2br w:val="nil"/>
              <w:tr2bl w:val="nil"/>
            </w:tcBorders>
            <w:noWrap/>
            <w:vAlign w:val="center"/>
          </w:tcPr>
          <w:p>
            <w:pPr>
              <w:widowControl/>
              <w:numPr>
                <w:ilvl w:val="0"/>
                <w:numId w:val="5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一拖二规格</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含发射器</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个接收器</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个</w:t>
            </w:r>
            <w:r>
              <w:rPr>
                <w:rFonts w:asciiTheme="minorEastAsia" w:hAnsiTheme="minorEastAsia" w:eastAsiaTheme="minorEastAsia"/>
                <w:color w:val="000000" w:themeColor="text1"/>
                <w:sz w:val="24"/>
                <w14:textFill>
                  <w14:solidFill>
                    <w14:schemeClr w14:val="tx1"/>
                  </w14:solidFill>
                </w14:textFill>
              </w:rPr>
              <w:t>）</w:t>
            </w:r>
          </w:p>
          <w:p>
            <w:pPr>
              <w:widowControl/>
              <w:numPr>
                <w:ilvl w:val="0"/>
                <w:numId w:val="5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射频输出功率30 mW/5 mW可选(UC、U、CE、LA、CN型号)10 mW/2 mW可选(J、E、KR 型号)</w:t>
            </w:r>
          </w:p>
          <w:p>
            <w:pPr>
              <w:widowControl/>
              <w:numPr>
                <w:ilvl w:val="0"/>
                <w:numId w:val="5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输入接口3.5 mm 直径 3 极锁定迷你插孔</w:t>
            </w:r>
          </w:p>
          <w:p>
            <w:pPr>
              <w:widowControl/>
              <w:numPr>
                <w:ilvl w:val="0"/>
                <w:numId w:val="5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参考音频输入电平60 dBV(麦克风输入，GAIN MODE 设置为 NORMAL，0 dB 袁减)+4 dBu(线路粉入)</w:t>
            </w:r>
          </w:p>
          <w:p>
            <w:pPr>
              <w:widowControl/>
              <w:numPr>
                <w:ilvl w:val="0"/>
                <w:numId w:val="54"/>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音频延迟约 0.35 ms</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摇臂</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伸展高度：80mm--3200mm    </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活动半径：1700mm</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负荷范围： 40kg</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4、航空箱一个</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配用球碗 Φ100mm /150mm</w:t>
            </w:r>
            <w:r>
              <w:rPr>
                <w:rFonts w:hint="eastAsia" w:asciiTheme="minorEastAsia" w:hAnsiTheme="minorEastAsia" w:eastAsiaTheme="minorEastAsia"/>
                <w:color w:val="000000" w:themeColor="text1"/>
                <w:sz w:val="24"/>
                <w14:textFill>
                  <w14:solidFill>
                    <w14:schemeClr w14:val="tx1"/>
                  </w14:solidFill>
                </w14:textFill>
              </w:rPr>
              <w:t>各一副</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38</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摇臂配件</w:t>
            </w:r>
          </w:p>
        </w:tc>
        <w:tc>
          <w:tcPr>
            <w:tcW w:w="6014" w:type="dxa"/>
            <w:tcBorders>
              <w:tl2br w:val="nil"/>
              <w:tr2bl w:val="nil"/>
            </w:tcBorders>
            <w:noWrap/>
            <w:vAlign w:val="center"/>
          </w:tcPr>
          <w:p>
            <w:pPr>
              <w:widowControl/>
              <w:numPr>
                <w:ilvl w:val="0"/>
                <w:numId w:val="5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摇臂用</w:t>
            </w:r>
            <w:r>
              <w:rPr>
                <w:rFonts w:asciiTheme="minorEastAsia" w:hAnsiTheme="minorEastAsia" w:eastAsiaTheme="minorEastAsia"/>
                <w:color w:val="000000" w:themeColor="text1"/>
                <w:sz w:val="24"/>
                <w14:textFill>
                  <w14:solidFill>
                    <w14:schemeClr w14:val="tx1"/>
                  </w14:solidFill>
                </w14:textFill>
              </w:rPr>
              <w:t>脚架</w:t>
            </w:r>
          </w:p>
          <w:p>
            <w:pPr>
              <w:widowControl/>
              <w:numPr>
                <w:ilvl w:val="0"/>
                <w:numId w:val="5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承重大于</w:t>
            </w:r>
            <w:r>
              <w:rPr>
                <w:rFonts w:asciiTheme="minorEastAsia" w:hAnsiTheme="minorEastAsia" w:eastAsiaTheme="minorEastAsia"/>
                <w:color w:val="000000" w:themeColor="text1"/>
                <w:sz w:val="24"/>
                <w14:textFill>
                  <w14:solidFill>
                    <w14:schemeClr w14:val="tx1"/>
                  </w14:solidFill>
                </w14:textFill>
              </w:rPr>
              <w:t>40KG                      </w:t>
            </w:r>
          </w:p>
          <w:p>
            <w:pPr>
              <w:widowControl/>
              <w:numPr>
                <w:ilvl w:val="0"/>
                <w:numId w:val="55"/>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配用球碗 Φ100mm /150mm</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39</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电控摇臂</w:t>
            </w:r>
          </w:p>
        </w:tc>
        <w:tc>
          <w:tcPr>
            <w:tcW w:w="6014" w:type="dxa"/>
            <w:tcBorders>
              <w:tl2br w:val="nil"/>
              <w:tr2bl w:val="nil"/>
            </w:tcBorders>
            <w:noWrap/>
            <w:vAlign w:val="center"/>
          </w:tcPr>
          <w:p>
            <w:pPr>
              <w:widowControl/>
              <w:numPr>
                <w:ilvl w:val="0"/>
                <w:numId w:val="5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机重50kg</w:t>
            </w:r>
          </w:p>
          <w:p>
            <w:pPr>
              <w:widowControl/>
              <w:numPr>
                <w:ilvl w:val="0"/>
                <w:numId w:val="5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臂体6节 (1米/节)</w:t>
            </w:r>
          </w:p>
          <w:p>
            <w:pPr>
              <w:widowControl/>
              <w:numPr>
                <w:ilvl w:val="0"/>
                <w:numId w:val="5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总长12</w:t>
            </w:r>
            <w:r>
              <w:rPr>
                <w:rFonts w:asciiTheme="minorEastAsia" w:hAnsiTheme="minorEastAsia" w:eastAsiaTheme="minorEastAsia"/>
                <w:color w:val="000000" w:themeColor="text1"/>
                <w:sz w:val="24"/>
                <w14:textFill>
                  <w14:solidFill>
                    <w14:schemeClr w14:val="tx1"/>
                  </w14:solidFill>
                </w14:textFill>
              </w:rPr>
              <w:t>米</w:t>
            </w:r>
          </w:p>
          <w:p>
            <w:pPr>
              <w:widowControl/>
              <w:numPr>
                <w:ilvl w:val="0"/>
                <w:numId w:val="5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云台承重8KG</w:t>
            </w:r>
          </w:p>
          <w:p>
            <w:pPr>
              <w:widowControl/>
              <w:numPr>
                <w:ilvl w:val="0"/>
                <w:numId w:val="5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臂体体质高强度轻型铝合金</w:t>
            </w:r>
          </w:p>
          <w:p>
            <w:pPr>
              <w:widowControl/>
              <w:numPr>
                <w:ilvl w:val="0"/>
                <w:numId w:val="56"/>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产品配置</w:t>
            </w:r>
            <w:r>
              <w:rPr>
                <w:rFonts w:asciiTheme="minorEastAsia" w:hAnsiTheme="minorEastAsia" w:eastAsiaTheme="minorEastAsia"/>
                <w:color w:val="000000" w:themeColor="text1"/>
                <w:sz w:val="24"/>
                <w14:textFill>
                  <w14:solidFill>
                    <w14:schemeClr w14:val="tx1"/>
                  </w14:solidFill>
                </w14:textFill>
              </w:rPr>
              <w:t>：臂体、钢丝绳支柱、配重杆、钢丝绳、花篮螺丝、弹簧钩、监视器支架脚架主支柱、脚架倒支柱、脚轮、工具、云台控制手柄、主电缆、摄像机控制手柄、充电器、适配器、监视器、遮光罩、安装光盘、电控云台、航空箱</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套</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40</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化妆台</w:t>
            </w:r>
          </w:p>
        </w:tc>
        <w:tc>
          <w:tcPr>
            <w:tcW w:w="6014" w:type="dxa"/>
            <w:tcBorders>
              <w:tl2br w:val="nil"/>
              <w:tr2bl w:val="nil"/>
            </w:tcBorders>
            <w:noWrap/>
            <w:vAlign w:val="center"/>
          </w:tcPr>
          <w:p>
            <w:pPr>
              <w:widowControl/>
              <w:numPr>
                <w:ilvl w:val="0"/>
                <w:numId w:val="57"/>
              </w:numPr>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规格</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不小于：长120</w:t>
            </w:r>
            <w:r>
              <w:rPr>
                <w:rFonts w:hint="eastAsia" w:asciiTheme="minorEastAsia" w:hAnsiTheme="minorEastAsia" w:eastAsiaTheme="minorEastAsia"/>
                <w:color w:val="000000" w:themeColor="text1"/>
                <w:sz w:val="24"/>
                <w:lang w:val="en-US" w:eastAsia="zh-CN"/>
                <w14:textFill>
                  <w14:solidFill>
                    <w14:schemeClr w14:val="tx1"/>
                  </w14:solidFill>
                </w14:textFill>
              </w:rPr>
              <w:t>cm</w:t>
            </w:r>
            <w:r>
              <w:rPr>
                <w:rFonts w:hint="eastAsia" w:asciiTheme="minorEastAsia" w:hAnsiTheme="minorEastAsia" w:eastAsiaTheme="minorEastAsia"/>
                <w:color w:val="000000" w:themeColor="text1"/>
                <w:sz w:val="24"/>
                <w14:textFill>
                  <w14:solidFill>
                    <w14:schemeClr w14:val="tx1"/>
                  </w14:solidFill>
                </w14:textFill>
              </w:rPr>
              <w:t>宽40</w:t>
            </w:r>
            <w:r>
              <w:rPr>
                <w:rFonts w:hint="eastAsia" w:asciiTheme="minorEastAsia" w:hAnsiTheme="minorEastAsia" w:eastAsiaTheme="minorEastAsia"/>
                <w:color w:val="000000" w:themeColor="text1"/>
                <w:sz w:val="24"/>
                <w:lang w:val="en-US" w:eastAsia="zh-CN"/>
                <w14:textFill>
                  <w14:solidFill>
                    <w14:schemeClr w14:val="tx1"/>
                  </w14:solidFill>
                </w14:textFill>
              </w:rPr>
              <w:t>cm</w:t>
            </w:r>
            <w:r>
              <w:rPr>
                <w:rFonts w:hint="eastAsia" w:asciiTheme="minorEastAsia" w:hAnsiTheme="minorEastAsia" w:eastAsiaTheme="minorEastAsia"/>
                <w:color w:val="000000" w:themeColor="text1"/>
                <w:sz w:val="24"/>
                <w14:textFill>
                  <w14:solidFill>
                    <w14:schemeClr w14:val="tx1"/>
                  </w14:solidFill>
                </w14:textFill>
              </w:rPr>
              <w:t>高160</w:t>
            </w:r>
            <w:r>
              <w:rPr>
                <w:rFonts w:hint="eastAsia" w:asciiTheme="minorEastAsia" w:hAnsiTheme="minorEastAsia" w:eastAsiaTheme="minorEastAsia"/>
                <w:color w:val="000000" w:themeColor="text1"/>
                <w:sz w:val="24"/>
                <w:lang w:val="en-US" w:eastAsia="zh-CN"/>
                <w14:textFill>
                  <w14:solidFill>
                    <w14:schemeClr w14:val="tx1"/>
                  </w14:solidFill>
                </w14:textFill>
              </w:rPr>
              <w:t>cm</w:t>
            </w:r>
          </w:p>
          <w:p>
            <w:pPr>
              <w:pStyle w:val="5"/>
              <w:numPr>
                <w:ilvl w:val="0"/>
                <w:numId w:val="57"/>
              </w:num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带照明灯泡</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组</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41</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摄影底座</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规格</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不小于：圆形 80*30cm白色</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42</w:t>
            </w:r>
          </w:p>
        </w:tc>
        <w:tc>
          <w:tcPr>
            <w:tcW w:w="1366" w:type="dxa"/>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6014" w:type="dxa"/>
            <w:tcBorders>
              <w:tl2br w:val="nil"/>
              <w:tr2bl w:val="nil"/>
            </w:tcBorders>
            <w:noWrap/>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1、LED  1200W大功率影视聚光灯</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2、IP54级别户外便携防水</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3、CRI：96以上</w:t>
            </w:r>
          </w:p>
          <w:p>
            <w:pPr>
              <w:widowControl/>
              <w:jc w:val="left"/>
              <w:textAlignment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4、NL卡口</w:t>
            </w:r>
          </w:p>
        </w:tc>
        <w:tc>
          <w:tcPr>
            <w:tcW w:w="552"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840" w:type="dxa"/>
            <w:tcBorders>
              <w:tl2br w:val="nil"/>
              <w:tr2bl w:val="nil"/>
            </w:tcBorders>
            <w:noWrap/>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43</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1、LED 600W大功率影视聚光灯</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2、CRI大于96</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3、色温：2700K-6500K</w:t>
            </w:r>
          </w:p>
          <w:p>
            <w:pPr>
              <w:widowControl/>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4、全天候防水</w:t>
            </w:r>
          </w:p>
          <w:p>
            <w:pPr>
              <w:pStyle w:val="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5、保荣卡口</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44</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1、LED 300W大功率影视聚光灯</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2、支持机身控制盒</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3、内置多种场景光效</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4、CRI：大于96</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5.色温2200k-5600k</w:t>
            </w:r>
          </w:p>
          <w:p>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6、保荣卡口</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45</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1、300W板型LED灯</w:t>
            </w:r>
          </w:p>
          <w:p>
            <w:pPr>
              <w:pStyle w:val="6"/>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2、色温：：2500K-10000K广色温</w:t>
            </w:r>
          </w:p>
          <w:p>
            <w:pPr>
              <w:pStyle w:val="6"/>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3、CRI大于95</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46</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1、LED 不低于70W</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2、CRI平均值：97</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3、色温：2700K-12000K</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47</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1、类型：LED四头灯</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2、色温：2800K-6500K</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3、配件：黑布罩Φ880×1100mm, 白布罩Φ 780×1000mm</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48</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灯光</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1、类型：LED六头灯</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2、色温：2800K-6500K</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3、配件：黑布罩Φ880×1100mm, 白布罩Φ 780×1000mm</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49</w:t>
            </w:r>
          </w:p>
        </w:tc>
        <w:tc>
          <w:tcPr>
            <w:tcW w:w="0" w:type="auto"/>
            <w:tcBorders>
              <w:tl2br w:val="nil"/>
              <w:tr2bl w:val="nil"/>
            </w:tcBorders>
            <w:vAlign w:val="center"/>
          </w:tcPr>
          <w:p>
            <w:pPr>
              <w:widowControl/>
              <w:jc w:val="center"/>
              <w:textAlignment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产品类型：柔光箱</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适用场景：影棚、摄影棚</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配件：黑布罩、白布罩</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兼容性：适用于LED矩阵灯柔光灯四头/六头灯</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50</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管灯控光附件 1/4地架</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51</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管灯控光附件 30C挡板+格栅</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52</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led摄影灯切光投影造型插片束光筒 Spotlight镜头36°</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53</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led摄影灯切光投影造型插片束光筒 Spotlight镜头19°</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54</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led摄影灯切光投影造型插片束光筒 Spotlight镜头26°</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55</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NL卡口FL-35菲涅尔镜头</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56</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NL卡口 150CM深口柔光箱</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57</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1、120CM 八角柔光箱</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2、保荣卡口</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58</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numPr>
                <w:ilvl w:val="0"/>
                <w:numId w:val="33"/>
              </w:numPr>
              <w:spacing w:beforeAutospacing="1" w:afterAutospacing="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适用</w:t>
            </w:r>
            <w:r>
              <w:rPr>
                <w:rFonts w:asciiTheme="minorEastAsia" w:hAnsiTheme="minorEastAsia" w:eastAsiaTheme="minorEastAsia"/>
                <w:color w:val="000000" w:themeColor="text1"/>
                <w:sz w:val="24"/>
                <w14:textFill>
                  <w14:solidFill>
                    <w14:schemeClr w14:val="tx1"/>
                  </w14:solidFill>
                </w14:textFill>
              </w:rPr>
              <w:t>P300c 柔光箱</w:t>
            </w:r>
          </w:p>
          <w:p>
            <w:pPr>
              <w:pStyle w:val="5"/>
              <w:numPr>
                <w:ilvl w:val="0"/>
                <w:numId w:val="33"/>
              </w:num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包含收纳包、柔光布、格栅</w:t>
            </w:r>
          </w:p>
        </w:tc>
        <w:tc>
          <w:tcPr>
            <w:tcW w:w="0" w:type="auto"/>
            <w:tcBorders>
              <w:tl2br w:val="nil"/>
              <w:tr2bl w:val="nil"/>
            </w:tcBorders>
            <w:vAlign w:val="center"/>
          </w:tcPr>
          <w:p>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59</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1、150CM 抛物线柔光罩</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2、保荣卡口</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60</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GOBO摄影补光灯投影造型片</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61</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四叶遮光板 保荣卡口蜂巢控光挡光板</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pStyle w:val="4"/>
              <w:numPr>
                <w:ilvl w:val="0"/>
                <w:numId w:val="0"/>
              </w:numPr>
              <w:shd w:val="clear" w:color="auto" w:fill="FFFFFF"/>
              <w:spacing w:before="0" w:after="0"/>
              <w:jc w:val="center"/>
              <w:rPr>
                <w:rFonts w:cs="宋体" w:asciiTheme="minorEastAsia" w:hAnsiTheme="minorEastAsia" w:eastAsiaTheme="minorEastAsia"/>
                <w:b w:val="0"/>
                <w:color w:val="000000" w:themeColor="text1"/>
                <w:kern w:val="2"/>
                <w:sz w:val="24"/>
                <w:szCs w:val="24"/>
                <w14:textFill>
                  <w14:solidFill>
                    <w14:schemeClr w14:val="tx1"/>
                  </w14:solidFill>
                </w14:textFill>
              </w:rPr>
            </w:pPr>
            <w:r>
              <w:rPr>
                <w:rFonts w:cs="宋体" w:asciiTheme="minorEastAsia" w:hAnsiTheme="minorEastAsia" w:eastAsiaTheme="minorEastAsia"/>
                <w:b w:val="0"/>
                <w:color w:val="000000" w:themeColor="text1"/>
                <w:kern w:val="2"/>
                <w:sz w:val="24"/>
                <w:szCs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62</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安全箱</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1、材质：聚丙烯</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2、适用爱图仕NOVA P300</w:t>
            </w:r>
          </w:p>
        </w:tc>
        <w:tc>
          <w:tcPr>
            <w:tcW w:w="0" w:type="auto"/>
            <w:tcBorders>
              <w:tl2br w:val="nil"/>
              <w:tr2bl w:val="nil"/>
            </w:tcBorders>
            <w:vAlign w:val="center"/>
          </w:tcPr>
          <w:p>
            <w:pPr>
              <w:pStyle w:val="4"/>
              <w:numPr>
                <w:ilvl w:val="0"/>
                <w:numId w:val="0"/>
              </w:numPr>
              <w:shd w:val="clear" w:color="auto" w:fill="FFFFFF"/>
              <w:spacing w:before="0" w:after="0"/>
              <w:rPr>
                <w:rFonts w:cs="宋体" w:asciiTheme="minorEastAsia" w:hAnsiTheme="minorEastAsia" w:eastAsiaTheme="minorEastAsia"/>
                <w:b w:val="0"/>
                <w:color w:val="000000" w:themeColor="text1"/>
                <w:kern w:val="2"/>
                <w:sz w:val="24"/>
                <w:szCs w:val="24"/>
                <w:lang w:bidi="ar"/>
                <w14:textFill>
                  <w14:solidFill>
                    <w14:schemeClr w14:val="tx1"/>
                  </w14:solidFill>
                </w14:textFill>
              </w:rPr>
            </w:pPr>
            <w:r>
              <w:rPr>
                <w:rFonts w:hint="eastAsia" w:cs="宋体" w:asciiTheme="minorEastAsia" w:hAnsiTheme="minorEastAsia" w:eastAsiaTheme="minorEastAsia"/>
                <w:b w:val="0"/>
                <w:color w:val="000000" w:themeColor="text1"/>
                <w:kern w:val="2"/>
                <w:sz w:val="24"/>
                <w:szCs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63</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魔术腿</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1、40寸魔术腿</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2、承重：20KG</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3、灯腿可上下升降</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cs="宋体" w:asciiTheme="minorEastAsia" w:hAnsiTheme="minorEastAsia" w:eastAsiaTheme="minorEastAsia"/>
                <w:color w:val="000000" w:themeColor="text1"/>
                <w:sz w:val="24"/>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64</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1、材质：不锈钢</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2、最高高度 ：450CM以上</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3、承重 ：40KG</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65</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widowControl/>
              <w:spacing w:beforeAutospacing="1" w:afterAutospacing="1"/>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魔术腿收纳运输架</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66</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灯架附件</w:t>
            </w:r>
          </w:p>
        </w:tc>
        <w:tc>
          <w:tcPr>
            <w:tcW w:w="0" w:type="auto"/>
            <w:tcBorders>
              <w:tl2br w:val="nil"/>
              <w:tr2bl w:val="nil"/>
            </w:tcBorders>
            <w:vAlign w:val="center"/>
          </w:tcPr>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1、脚轮：25mm*25mm</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2、净重：3KG</w:t>
            </w:r>
          </w:p>
          <w:p>
            <w:pPr>
              <w:pStyle w:val="6"/>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3、适配灯架</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67</w:t>
            </w:r>
          </w:p>
        </w:tc>
        <w:tc>
          <w:tcPr>
            <w:tcW w:w="0" w:type="auto"/>
            <w:tcBorders>
              <w:tl2br w:val="nil"/>
              <w:tr2bl w:val="nil"/>
            </w:tcBorders>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4"/>
              <w:numPr>
                <w:ilvl w:val="0"/>
                <w:numId w:val="0"/>
              </w:numPr>
              <w:shd w:val="clear" w:color="auto" w:fill="FFFFFF"/>
              <w:spacing w:before="0" w:after="0"/>
              <w:rPr>
                <w:rFonts w:cs="宋体" w:asciiTheme="minorEastAsia" w:hAnsiTheme="minorEastAsia" w:eastAsiaTheme="minorEastAsia"/>
                <w:b w:val="0"/>
                <w:color w:val="000000" w:themeColor="text1"/>
                <w:kern w:val="2"/>
                <w:sz w:val="24"/>
                <w:szCs w:val="24"/>
                <w14:textFill>
                  <w14:solidFill>
                    <w14:schemeClr w14:val="tx1"/>
                  </w14:solidFill>
                </w14:textFill>
              </w:rPr>
            </w:pPr>
            <w:r>
              <w:rPr>
                <w:rFonts w:cs="宋体" w:asciiTheme="minorEastAsia" w:hAnsiTheme="minorEastAsia" w:eastAsiaTheme="minorEastAsia"/>
                <w:b w:val="0"/>
                <w:color w:val="000000" w:themeColor="text1"/>
                <w:kern w:val="2"/>
                <w:sz w:val="24"/>
                <w:szCs w:val="24"/>
                <w14:textFill>
                  <w14:solidFill>
                    <w14:schemeClr w14:val="tx1"/>
                  </w14:solidFill>
                </w14:textFill>
              </w:rPr>
              <w:t>灯架沙袋双色条纹</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68</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2"/>
              <w:keepNext w:val="0"/>
              <w:keepLines w:val="0"/>
              <w:widowControl/>
              <w:numPr>
                <w:ilvl w:val="0"/>
                <w:numId w:val="0"/>
              </w:numPr>
              <w:shd w:val="clear" w:color="auto" w:fill="FFFFFF"/>
              <w:spacing w:before="0" w:after="0" w:line="240" w:lineRule="auto"/>
              <w:rPr>
                <w:rFonts w:cs="宋体" w:asciiTheme="minorEastAsia" w:hAnsiTheme="minorEastAsia" w:eastAsiaTheme="minorEastAsia"/>
                <w:b w:val="0"/>
                <w:color w:val="000000" w:themeColor="text1"/>
                <w:kern w:val="2"/>
                <w:sz w:val="24"/>
                <w:szCs w:val="24"/>
                <w14:textFill>
                  <w14:solidFill>
                    <w14:schemeClr w14:val="tx1"/>
                  </w14:solidFill>
                </w14:textFill>
              </w:rPr>
            </w:pPr>
            <w:r>
              <w:rPr>
                <w:rFonts w:hint="eastAsia" w:cs="宋体" w:asciiTheme="minorEastAsia" w:hAnsiTheme="minorEastAsia" w:eastAsiaTheme="minorEastAsia"/>
                <w:b w:val="0"/>
                <w:color w:val="000000" w:themeColor="text1"/>
                <w:kern w:val="2"/>
                <w:sz w:val="24"/>
                <w:szCs w:val="24"/>
                <w14:textFill>
                  <w14:solidFill>
                    <w14:schemeClr w14:val="tx1"/>
                  </w14:solidFill>
                </w14:textFill>
              </w:rPr>
              <w:t>1、五合一旗板</w:t>
            </w:r>
          </w:p>
          <w:p>
            <w:pPr>
              <w:pStyle w:val="2"/>
              <w:keepNext w:val="0"/>
              <w:keepLines w:val="0"/>
              <w:widowControl/>
              <w:numPr>
                <w:ilvl w:val="0"/>
                <w:numId w:val="0"/>
              </w:numPr>
              <w:shd w:val="clear" w:color="auto" w:fill="FFFFFF"/>
              <w:spacing w:before="0" w:after="0" w:line="240" w:lineRule="auto"/>
              <w:rPr>
                <w:rFonts w:cs="宋体" w:asciiTheme="minorEastAsia" w:hAnsiTheme="minorEastAsia" w:eastAsiaTheme="minorEastAsia"/>
                <w:b w:val="0"/>
                <w:color w:val="000000" w:themeColor="text1"/>
                <w:kern w:val="2"/>
                <w:sz w:val="24"/>
                <w:szCs w:val="24"/>
                <w14:textFill>
                  <w14:solidFill>
                    <w14:schemeClr w14:val="tx1"/>
                  </w14:solidFill>
                </w14:textFill>
              </w:rPr>
            </w:pPr>
            <w:r>
              <w:rPr>
                <w:rFonts w:hint="eastAsia" w:cs="宋体" w:asciiTheme="minorEastAsia" w:hAnsiTheme="minorEastAsia" w:eastAsiaTheme="minorEastAsia"/>
                <w:b w:val="0"/>
                <w:color w:val="000000" w:themeColor="text1"/>
                <w:kern w:val="2"/>
                <w:sz w:val="24"/>
                <w:szCs w:val="24"/>
                <w14:textFill>
                  <w14:solidFill>
                    <w14:schemeClr w14:val="tx1"/>
                  </w14:solidFill>
                </w14:textFill>
              </w:rPr>
              <w:t>2、120</w:t>
            </w:r>
            <w:r>
              <w:rPr>
                <w:rFonts w:cs="宋体" w:asciiTheme="minorEastAsia" w:hAnsiTheme="minorEastAsia" w:eastAsiaTheme="minorEastAsia"/>
                <w:b w:val="0"/>
                <w:color w:val="000000" w:themeColor="text1"/>
                <w:kern w:val="2"/>
                <w:sz w:val="24"/>
                <w:szCs w:val="24"/>
                <w14:textFill>
                  <w14:solidFill>
                    <w14:schemeClr w14:val="tx1"/>
                  </w14:solidFill>
                </w14:textFill>
              </w:rPr>
              <w:t>x100cm</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cs="宋体" w:asciiTheme="minorEastAsia" w:hAnsiTheme="minorEastAsia" w:eastAsiaTheme="minorEastAsia"/>
                <w:color w:val="000000" w:themeColor="text1"/>
                <w:sz w:val="24"/>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vAlign w:val="center"/>
          </w:tcPr>
          <w:p>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69</w:t>
            </w:r>
          </w:p>
        </w:tc>
        <w:tc>
          <w:tcPr>
            <w:tcW w:w="0" w:type="auto"/>
            <w:tcBorders>
              <w:tl2br w:val="nil"/>
              <w:tr2bl w:val="nil"/>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灯光附件</w:t>
            </w:r>
          </w:p>
        </w:tc>
        <w:tc>
          <w:tcPr>
            <w:tcW w:w="0" w:type="auto"/>
            <w:tcBorders>
              <w:tl2br w:val="nil"/>
              <w:tr2bl w:val="nil"/>
            </w:tcBorders>
            <w:vAlign w:val="center"/>
          </w:tcPr>
          <w:p>
            <w:pPr>
              <w:pStyle w:val="2"/>
              <w:keepNext w:val="0"/>
              <w:keepLines w:val="0"/>
              <w:widowControl/>
              <w:numPr>
                <w:ilvl w:val="0"/>
                <w:numId w:val="0"/>
              </w:numPr>
              <w:shd w:val="clear" w:color="auto" w:fill="FFFFFF"/>
              <w:spacing w:before="0" w:after="0" w:line="240" w:lineRule="auto"/>
              <w:rPr>
                <w:rFonts w:cs="宋体" w:asciiTheme="minorEastAsia" w:hAnsiTheme="minorEastAsia" w:eastAsiaTheme="minorEastAsia"/>
                <w:b w:val="0"/>
                <w:color w:val="000000" w:themeColor="text1"/>
                <w:kern w:val="2"/>
                <w:sz w:val="24"/>
                <w:szCs w:val="24"/>
                <w14:textFill>
                  <w14:solidFill>
                    <w14:schemeClr w14:val="tx1"/>
                  </w14:solidFill>
                </w14:textFill>
              </w:rPr>
            </w:pPr>
            <w:r>
              <w:rPr>
                <w:rFonts w:hint="eastAsia" w:cs="宋体" w:asciiTheme="minorEastAsia" w:hAnsiTheme="minorEastAsia" w:eastAsiaTheme="minorEastAsia"/>
                <w:b w:val="0"/>
                <w:color w:val="000000" w:themeColor="text1"/>
                <w:kern w:val="0"/>
                <w:sz w:val="24"/>
                <w:szCs w:val="24"/>
                <w14:textFill>
                  <w14:solidFill>
                    <w14:schemeClr w14:val="tx1"/>
                  </w14:solidFill>
                </w14:textFill>
              </w:rPr>
              <w:t>1</w:t>
            </w:r>
            <w:r>
              <w:rPr>
                <w:rFonts w:cs="宋体" w:asciiTheme="minorEastAsia" w:hAnsiTheme="minorEastAsia" w:eastAsiaTheme="minorEastAsia"/>
                <w:b w:val="0"/>
                <w:color w:val="000000" w:themeColor="text1"/>
                <w:kern w:val="0"/>
                <w:sz w:val="24"/>
                <w:szCs w:val="24"/>
                <w14:textFill>
                  <w14:solidFill>
                    <w14:schemeClr w14:val="tx1"/>
                  </w14:solidFill>
                </w14:textFill>
              </w:rPr>
              <w:t>8</w:t>
            </w:r>
            <w:r>
              <w:rPr>
                <w:rFonts w:hint="eastAsia" w:cs="宋体" w:asciiTheme="minorEastAsia" w:hAnsiTheme="minorEastAsia" w:eastAsiaTheme="minorEastAsia"/>
                <w:b w:val="0"/>
                <w:color w:val="000000" w:themeColor="text1"/>
                <w:kern w:val="0"/>
                <w:sz w:val="24"/>
                <w:szCs w:val="24"/>
                <w14:textFill>
                  <w14:solidFill>
                    <w14:schemeClr w14:val="tx1"/>
                  </w14:solidFill>
                </w14:textFill>
              </w:rPr>
              <w:t>K两面白柔光带滑轮米菠萝板2</w:t>
            </w:r>
            <w:r>
              <w:rPr>
                <w:rFonts w:cs="宋体" w:asciiTheme="minorEastAsia" w:hAnsiTheme="minorEastAsia" w:eastAsiaTheme="minorEastAsia"/>
                <w:b w:val="0"/>
                <w:color w:val="000000" w:themeColor="text1"/>
                <w:kern w:val="0"/>
                <w:sz w:val="24"/>
                <w:szCs w:val="24"/>
                <w14:textFill>
                  <w14:solidFill>
                    <w14:schemeClr w14:val="tx1"/>
                  </w14:solidFill>
                </w14:textFill>
              </w:rPr>
              <w:t>00*120</w:t>
            </w:r>
          </w:p>
        </w:tc>
        <w:tc>
          <w:tcPr>
            <w:tcW w:w="0" w:type="auto"/>
            <w:tcBorders>
              <w:tl2br w:val="nil"/>
              <w:tr2bl w:val="nil"/>
            </w:tcBorders>
            <w:vAlign w:val="center"/>
          </w:tcPr>
          <w:p>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0" w:type="auto"/>
            <w:tcBorders>
              <w:tl2br w:val="nil"/>
              <w:tr2bl w:val="nil"/>
            </w:tcBorders>
            <w:vAlign w:val="center"/>
          </w:tcPr>
          <w:p>
            <w:pPr>
              <w:widowControl/>
              <w:spacing w:beforeAutospacing="1" w:afterAutospacing="1"/>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r>
    </w:tbl>
    <w:p>
      <w:pPr>
        <w:adjustRightInd w:val="0"/>
        <w:snapToGrid w:val="0"/>
        <w:spacing w:line="360" w:lineRule="exact"/>
        <w:ind w:firstLine="482" w:firstLineChars="200"/>
        <w:outlineLvl w:val="0"/>
        <w:rPr>
          <w:rFonts w:ascii="仿宋" w:hAnsi="仿宋" w:eastAsia="仿宋" w:cs="仿宋_GB2312"/>
          <w:b/>
          <w:sz w:val="24"/>
        </w:rPr>
      </w:pPr>
    </w:p>
    <w:p>
      <w:pPr>
        <w:adjustRightInd w:val="0"/>
        <w:snapToGrid w:val="0"/>
        <w:spacing w:line="360" w:lineRule="exact"/>
        <w:ind w:firstLine="482" w:firstLineChars="200"/>
        <w:outlineLvl w:val="0"/>
        <w:rPr>
          <w:rFonts w:ascii="仿宋" w:hAnsi="仿宋" w:eastAsia="仿宋" w:cs="仿宋_GB2312"/>
          <w:b/>
          <w:sz w:val="24"/>
        </w:rPr>
      </w:pPr>
      <w:r>
        <w:rPr>
          <w:rFonts w:hint="eastAsia" w:ascii="仿宋" w:hAnsi="仿宋" w:eastAsia="仿宋" w:cs="仿宋_GB2312"/>
          <w:b/>
          <w:sz w:val="24"/>
        </w:rPr>
        <w:t>第二条 甲方职责</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2.1乙方提供的设备、材料到达甲方后，双方进行验收。</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2.2在项目期间做好必要的项目配合和协调工作。</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2.3在方案有变更时应尽早通知乙方，并做好书面记录。因此导致工期迟延的，工期顺延。</w:t>
      </w:r>
    </w:p>
    <w:p>
      <w:pPr>
        <w:adjustRightInd w:val="0"/>
        <w:snapToGrid w:val="0"/>
        <w:spacing w:line="360" w:lineRule="exact"/>
        <w:ind w:firstLine="482" w:firstLineChars="200"/>
        <w:outlineLvl w:val="0"/>
        <w:rPr>
          <w:rFonts w:ascii="仿宋" w:hAnsi="仿宋" w:eastAsia="仿宋" w:cs="仿宋_GB2312"/>
          <w:b/>
          <w:sz w:val="24"/>
        </w:rPr>
      </w:pPr>
      <w:r>
        <w:rPr>
          <w:rFonts w:hint="eastAsia" w:ascii="仿宋" w:hAnsi="仿宋" w:eastAsia="仿宋" w:cs="仿宋_GB2312"/>
          <w:b/>
          <w:sz w:val="24"/>
        </w:rPr>
        <w:t>第三条 乙方职责</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3.1设计并与甲方详细讨论方案，解答甲方对安装工作的相关咨询。</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3.2按照项目技术方案实施项目，保质、保量、按时完工。</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3.3 乙方提供相关设备资料，包括合格证、检验证。</w:t>
      </w:r>
    </w:p>
    <w:p>
      <w:pPr>
        <w:adjustRightInd w:val="0"/>
        <w:snapToGrid w:val="0"/>
        <w:spacing w:line="360" w:lineRule="exact"/>
        <w:ind w:firstLine="482" w:firstLineChars="200"/>
        <w:outlineLvl w:val="0"/>
        <w:rPr>
          <w:rFonts w:ascii="仿宋" w:hAnsi="仿宋" w:eastAsia="仿宋" w:cs="仿宋_GB2312"/>
          <w:b/>
          <w:bCs/>
          <w:sz w:val="24"/>
        </w:rPr>
      </w:pPr>
      <w:r>
        <w:rPr>
          <w:rFonts w:hint="eastAsia" w:ascii="仿宋" w:hAnsi="仿宋" w:eastAsia="仿宋" w:cs="仿宋_GB2312"/>
          <w:b/>
          <w:bCs/>
          <w:sz w:val="24"/>
        </w:rPr>
        <w:t>第四条 项目管理</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4.1此项目乙方选派最优秀的项目管理人员进行项目管理，并服从甲方现场管理人员指挥。</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4.2在合同签订5日内乙方工程技术人员在甲方具备安装条件时，乙方即开始设备的现场安装和调试，施工工期</w:t>
      </w:r>
      <w:r>
        <w:rPr>
          <w:rFonts w:hint="eastAsia" w:ascii="仿宋" w:hAnsi="仿宋" w:eastAsia="仿宋" w:cs="仿宋_GB2312"/>
          <w:sz w:val="24"/>
          <w:u w:val="single"/>
        </w:rPr>
        <w:t xml:space="preserve">       </w:t>
      </w:r>
      <w:r>
        <w:rPr>
          <w:rFonts w:hint="eastAsia" w:ascii="仿宋" w:hAnsi="仿宋" w:eastAsia="仿宋" w:cs="仿宋_GB2312"/>
          <w:sz w:val="24"/>
        </w:rPr>
        <w:t>天。</w:t>
      </w:r>
    </w:p>
    <w:p>
      <w:pPr>
        <w:adjustRightInd w:val="0"/>
        <w:snapToGrid w:val="0"/>
        <w:spacing w:line="360" w:lineRule="exact"/>
        <w:ind w:firstLine="482" w:firstLineChars="200"/>
        <w:outlineLvl w:val="0"/>
        <w:rPr>
          <w:rFonts w:ascii="仿宋" w:hAnsi="仿宋" w:eastAsia="仿宋" w:cs="仿宋_GB2312"/>
          <w:b/>
          <w:bCs/>
          <w:sz w:val="24"/>
        </w:rPr>
      </w:pPr>
      <w:r>
        <w:rPr>
          <w:rFonts w:hint="eastAsia" w:ascii="仿宋" w:hAnsi="仿宋" w:eastAsia="仿宋" w:cs="仿宋_GB2312"/>
          <w:b/>
          <w:bCs/>
          <w:sz w:val="24"/>
        </w:rPr>
        <w:t>第五条 验收</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5.1乙方提供竣工验收资料后</w:t>
      </w:r>
      <w:bookmarkStart w:id="1" w:name="ICT_FINAL_ACCEPT_TIME"/>
      <w:bookmarkEnd w:id="1"/>
      <w:r>
        <w:rPr>
          <w:rFonts w:hint="eastAsia" w:ascii="仿宋" w:hAnsi="仿宋" w:eastAsia="仿宋" w:cs="仿宋_GB2312"/>
          <w:sz w:val="24"/>
        </w:rPr>
        <w:t xml:space="preserve"> 7 个工作日内，由甲方根据项目技术方案及合同约定的质量要求进行项目验收，无项目技术方案的则按国家现行相关标准，项目验收合格的，甲方签字确认。</w:t>
      </w:r>
    </w:p>
    <w:p>
      <w:pPr>
        <w:adjustRightInd w:val="0"/>
        <w:snapToGrid w:val="0"/>
        <w:spacing w:line="360" w:lineRule="exact"/>
        <w:ind w:firstLine="482" w:firstLineChars="200"/>
        <w:outlineLvl w:val="0"/>
        <w:rPr>
          <w:rFonts w:ascii="仿宋" w:hAnsi="仿宋" w:eastAsia="仿宋" w:cs="仿宋_GB2312"/>
          <w:b/>
          <w:bCs/>
          <w:sz w:val="24"/>
        </w:rPr>
      </w:pPr>
      <w:r>
        <w:rPr>
          <w:rFonts w:hint="eastAsia" w:ascii="仿宋" w:hAnsi="仿宋" w:eastAsia="仿宋" w:cs="仿宋_GB2312"/>
          <w:b/>
          <w:bCs/>
          <w:sz w:val="24"/>
        </w:rPr>
        <w:t>第六条 付款方式</w:t>
      </w:r>
    </w:p>
    <w:p>
      <w:pPr>
        <w:spacing w:line="360" w:lineRule="exact"/>
        <w:ind w:firstLine="480" w:firstLineChars="200"/>
        <w:rPr>
          <w:rFonts w:ascii="仿宋" w:hAnsi="仿宋" w:eastAsia="仿宋"/>
          <w:sz w:val="24"/>
        </w:rPr>
      </w:pPr>
      <w:r>
        <w:rPr>
          <w:rFonts w:hint="eastAsia" w:ascii="仿宋" w:hAnsi="仿宋" w:eastAsia="仿宋" w:cs="仿宋_GB2312"/>
          <w:sz w:val="24"/>
        </w:rPr>
        <w:t>6.</w:t>
      </w:r>
      <w:r>
        <w:rPr>
          <w:rFonts w:hint="eastAsia" w:ascii="仿宋" w:hAnsi="仿宋" w:eastAsia="仿宋" w:cs="仿宋"/>
          <w:sz w:val="24"/>
        </w:rPr>
        <w:t>1合同费总额</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sz w:val="24"/>
        </w:rPr>
        <w:t>项目到货验收合格后15个工作日内，支付95%验收款；项目质保期满3年，支付5%质保款（不计息）。付款前，乙方须先向甲方提供同等金额的正规发票，否则甲方有权拒绝付款且不承担违约责任。</w:t>
      </w:r>
    </w:p>
    <w:p>
      <w:pPr>
        <w:widowControl/>
        <w:autoSpaceDE w:val="0"/>
        <w:autoSpaceDN w:val="0"/>
        <w:spacing w:line="360" w:lineRule="exact"/>
        <w:ind w:firstLine="480" w:firstLineChars="200"/>
        <w:textAlignment w:val="bottom"/>
        <w:rPr>
          <w:rFonts w:ascii="仿宋" w:hAnsi="仿宋" w:eastAsia="仿宋"/>
          <w:sz w:val="24"/>
        </w:rPr>
      </w:pPr>
      <w:r>
        <w:rPr>
          <w:rFonts w:hint="eastAsia" w:ascii="仿宋" w:hAnsi="仿宋" w:eastAsia="仿宋"/>
          <w:sz w:val="24"/>
        </w:rPr>
        <w:t>乙方信息如下：</w:t>
      </w:r>
    </w:p>
    <w:p>
      <w:pPr>
        <w:widowControl/>
        <w:autoSpaceDE w:val="0"/>
        <w:autoSpaceDN w:val="0"/>
        <w:spacing w:line="360" w:lineRule="exact"/>
        <w:ind w:firstLine="480" w:firstLineChars="200"/>
        <w:textAlignment w:val="bottom"/>
        <w:rPr>
          <w:rFonts w:ascii="仿宋" w:hAnsi="仿宋" w:eastAsia="仿宋"/>
          <w:sz w:val="24"/>
        </w:rPr>
      </w:pPr>
      <w:r>
        <w:rPr>
          <w:rFonts w:hint="eastAsia" w:ascii="仿宋" w:hAnsi="仿宋" w:eastAsia="仿宋"/>
          <w:sz w:val="24"/>
        </w:rPr>
        <w:t>开户行：</w:t>
      </w:r>
    </w:p>
    <w:p>
      <w:pPr>
        <w:spacing w:line="360" w:lineRule="exact"/>
        <w:ind w:firstLine="480" w:firstLineChars="200"/>
        <w:rPr>
          <w:rFonts w:ascii="仿宋" w:hAnsi="仿宋" w:eastAsia="仿宋"/>
          <w:sz w:val="24"/>
        </w:rPr>
      </w:pPr>
      <w:r>
        <w:rPr>
          <w:rFonts w:hint="eastAsia" w:ascii="仿宋" w:hAnsi="仿宋" w:eastAsia="仿宋"/>
          <w:sz w:val="24"/>
        </w:rPr>
        <w:t>户名：</w:t>
      </w:r>
    </w:p>
    <w:p>
      <w:pPr>
        <w:spacing w:line="360" w:lineRule="exact"/>
        <w:ind w:firstLine="480" w:firstLineChars="200"/>
        <w:rPr>
          <w:rFonts w:ascii="仿宋" w:hAnsi="仿宋" w:eastAsia="仿宋"/>
          <w:sz w:val="24"/>
        </w:rPr>
      </w:pPr>
      <w:r>
        <w:rPr>
          <w:rFonts w:hint="eastAsia" w:ascii="仿宋" w:hAnsi="仿宋" w:eastAsia="仿宋"/>
          <w:sz w:val="24"/>
        </w:rPr>
        <w:t>账号：</w:t>
      </w:r>
    </w:p>
    <w:p>
      <w:pPr>
        <w:spacing w:line="360" w:lineRule="exact"/>
        <w:ind w:firstLine="480" w:firstLineChars="200"/>
        <w:rPr>
          <w:rFonts w:ascii="仿宋" w:hAnsi="仿宋" w:eastAsia="仿宋"/>
          <w:sz w:val="24"/>
        </w:rPr>
      </w:pPr>
    </w:p>
    <w:p>
      <w:pPr>
        <w:adjustRightInd w:val="0"/>
        <w:snapToGrid w:val="0"/>
        <w:spacing w:line="360" w:lineRule="exact"/>
        <w:ind w:firstLine="482" w:firstLineChars="200"/>
        <w:outlineLvl w:val="0"/>
        <w:rPr>
          <w:rFonts w:ascii="仿宋" w:hAnsi="仿宋" w:eastAsia="仿宋" w:cs="仿宋_GB2312"/>
          <w:b/>
          <w:bCs/>
          <w:sz w:val="24"/>
        </w:rPr>
      </w:pPr>
      <w:r>
        <w:rPr>
          <w:rFonts w:hint="eastAsia" w:ascii="仿宋" w:hAnsi="仿宋" w:eastAsia="仿宋" w:cs="仿宋_GB2312"/>
          <w:b/>
          <w:bCs/>
          <w:sz w:val="24"/>
        </w:rPr>
        <w:t>第七条 维护</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7.1本项目的质量保证期为[</w:t>
      </w:r>
      <w:r>
        <w:rPr>
          <w:rFonts w:hint="eastAsia" w:ascii="仿宋" w:hAnsi="仿宋" w:eastAsia="仿宋" w:cs="仿宋_GB2312"/>
          <w:sz w:val="24"/>
          <w:u w:val="single"/>
        </w:rPr>
        <w:t xml:space="preserve">       </w:t>
      </w:r>
      <w:r>
        <w:rPr>
          <w:rFonts w:hint="eastAsia" w:ascii="仿宋" w:hAnsi="仿宋" w:eastAsia="仿宋" w:cs="仿宋_GB2312"/>
          <w:sz w:val="24"/>
        </w:rPr>
        <w:t>]年，设备（材料）的质保期自设备（材料）验收合格之日起算；硬件设备和软件的质保期自项目验收合格之日起算，在此期间乙方提供免费维护。但对于由于不可抗力，如火灾、水灾、台风、雷击、地震、战争、政府禁令等不能预见、不能完全避免并不能完全克服的客观情况或非乙方原因造成损害的，乙方提供收取材料成本的免人工费用的维护。</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7.2质保期满后，乙方提供有偿维护，收取材料、人工费等维保费用。</w:t>
      </w:r>
    </w:p>
    <w:p>
      <w:pPr>
        <w:adjustRightInd w:val="0"/>
        <w:snapToGrid w:val="0"/>
        <w:spacing w:line="360" w:lineRule="exact"/>
        <w:ind w:firstLine="482" w:firstLineChars="200"/>
        <w:outlineLvl w:val="0"/>
        <w:rPr>
          <w:rFonts w:ascii="仿宋" w:hAnsi="仿宋" w:eastAsia="仿宋" w:cs="仿宋_GB2312"/>
          <w:b/>
          <w:bCs/>
          <w:sz w:val="24"/>
        </w:rPr>
      </w:pPr>
      <w:r>
        <w:rPr>
          <w:rFonts w:hint="eastAsia" w:ascii="仿宋" w:hAnsi="仿宋" w:eastAsia="仿宋" w:cs="仿宋_GB2312"/>
          <w:b/>
          <w:bCs/>
          <w:sz w:val="24"/>
        </w:rPr>
        <w:t>第八条 违约责任</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8.1乙方保证为甲方提供的设备、材料为正规渠道产品，否则乙方承担甲方因此遭受的损失（包括但不限于任何第三人向甲方主张的侵权赔偿费用、律师费、诉讼费、差旅费等一切费用）。若验收时发现存在质量问题的，乙方负责予以更换或退货；乙方保证项目的质量，若验收不合格的，乙方负责无偿整改或返工，同时乙方整改、返工导致的工期延误仍须按照本合同约定承担违约责任。</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8.2甲方若逾期不支付乙方合同款，每逾期一周，应向乙方支付合同总额的</w:t>
      </w:r>
      <w:r>
        <w:rPr>
          <w:rFonts w:hint="eastAsia" w:ascii="仿宋" w:hAnsi="仿宋" w:eastAsia="仿宋"/>
          <w:sz w:val="24"/>
        </w:rPr>
        <w:t>0.1%</w:t>
      </w:r>
      <w:r>
        <w:rPr>
          <w:rFonts w:hint="eastAsia" w:ascii="仿宋" w:hAnsi="仿宋" w:eastAsia="仿宋" w:cs="仿宋_GB2312"/>
          <w:sz w:val="24"/>
        </w:rPr>
        <w:t>作为逾期违约金，不足一周按一周计。甲方支付逾期违约金，并不免除其支付合同款的义务。逾期超过两周，乙方有权解除本合同，解除合同并不影响甲方对前述违约金的支付，违约金不足以弥补乙方损失的，甲方还应另行赔偿。</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8.3若因乙方责任影响进度，每延迟一周，乙方按合同总额的</w:t>
      </w:r>
      <w:r>
        <w:rPr>
          <w:rFonts w:hint="eastAsia" w:ascii="仿宋" w:hAnsi="仿宋" w:eastAsia="仿宋"/>
          <w:sz w:val="24"/>
        </w:rPr>
        <w:t>0.1%</w:t>
      </w:r>
      <w:r>
        <w:rPr>
          <w:rFonts w:hint="eastAsia" w:ascii="仿宋" w:hAnsi="仿宋" w:eastAsia="仿宋" w:cs="仿宋_GB2312"/>
          <w:sz w:val="24"/>
        </w:rPr>
        <w:t xml:space="preserve">向甲方支付逾期违约金；若因不可抗力、甲方原因影响进度，工期相应顺延。　 </w:t>
      </w:r>
    </w:p>
    <w:p>
      <w:pPr>
        <w:adjustRightInd w:val="0"/>
        <w:snapToGrid w:val="0"/>
        <w:spacing w:line="360" w:lineRule="exact"/>
        <w:ind w:firstLine="480" w:firstLineChars="200"/>
        <w:rPr>
          <w:rFonts w:ascii="仿宋" w:hAnsi="仿宋" w:eastAsia="仿宋" w:cs="仿宋_GB2312"/>
          <w:sz w:val="24"/>
        </w:rPr>
      </w:pPr>
      <w:r>
        <w:rPr>
          <w:rFonts w:hint="eastAsia" w:ascii="仿宋" w:hAnsi="仿宋" w:eastAsia="仿宋" w:cs="仿宋_GB2312"/>
          <w:sz w:val="24"/>
        </w:rPr>
        <w:t>8.4任何一方可在违约事项发生后30个工作日内，向对方发出要求索赔的通知，对方在接到索赔通知后10个工作日内给予答复，对方在10个工作日内未予答复，应视为该项索赔已经被接受。</w:t>
      </w:r>
    </w:p>
    <w:p>
      <w:pPr>
        <w:spacing w:line="360" w:lineRule="exact"/>
        <w:ind w:firstLine="482" w:firstLineChars="200"/>
        <w:rPr>
          <w:rFonts w:ascii="仿宋" w:hAnsi="仿宋" w:eastAsia="仿宋"/>
          <w:b/>
          <w:sz w:val="24"/>
        </w:rPr>
      </w:pPr>
      <w:r>
        <w:rPr>
          <w:rFonts w:hint="eastAsia" w:ascii="仿宋" w:hAnsi="仿宋" w:eastAsia="仿宋"/>
          <w:b/>
          <w:sz w:val="24"/>
        </w:rPr>
        <w:t>第九条 保密条款</w:t>
      </w:r>
    </w:p>
    <w:p>
      <w:pPr>
        <w:spacing w:line="360" w:lineRule="exact"/>
        <w:ind w:firstLine="480" w:firstLineChars="200"/>
        <w:rPr>
          <w:rFonts w:ascii="仿宋" w:hAnsi="仿宋" w:eastAsia="仿宋"/>
          <w:sz w:val="24"/>
        </w:rPr>
      </w:pPr>
      <w:r>
        <w:rPr>
          <w:rFonts w:hint="eastAsia" w:ascii="仿宋" w:hAnsi="仿宋" w:eastAsia="仿宋"/>
          <w:sz w:val="24"/>
        </w:rPr>
        <w:t>9.1本合同一方(“资料披露方”)对其向本合同另一方(“资料接受方”)按照本合同(或就本合同)所提供的各类技术和商业资料、规格说明、图纸、文件及专有技术 (简称“保密资料”)享有合法所有权。</w:t>
      </w:r>
    </w:p>
    <w:p>
      <w:pPr>
        <w:spacing w:line="360" w:lineRule="exact"/>
        <w:ind w:firstLine="480" w:firstLineChars="200"/>
        <w:rPr>
          <w:rFonts w:ascii="仿宋" w:hAnsi="仿宋" w:eastAsia="仿宋"/>
          <w:sz w:val="24"/>
        </w:rPr>
      </w:pPr>
      <w:r>
        <w:rPr>
          <w:rFonts w:hint="eastAsia" w:ascii="仿宋" w:hAnsi="仿宋" w:eastAsia="仿宋"/>
          <w:sz w:val="24"/>
        </w:rPr>
        <w:t>9.2除本合同授权实施的行为外，资料接受方应将保密资料视为商业秘密予以保护，且不得将该保密资料部分地或全部地复制或向第三方披露。资料接受方可仅为本合同的目的向其确有知悉必要的雇员披露对方提供的保密资料，但同时须指示其雇员遵守本章规定的保密及不披露义务。接受方仅得为执行本合同下义务的目的对保密资料进行复制，本合同终止或解除后，接受方必须将保密资料全部返还披露方，并销毁所有复制件。接受方应当妥善保存保密资料，并对保密资料在接受方期间发生的被盗、不慎泄露、或其他有损保密资料保密性的事件承担全部责任，因此造成披露方损失的，接受方应负责赔偿。</w:t>
      </w:r>
    </w:p>
    <w:p>
      <w:pPr>
        <w:spacing w:line="360" w:lineRule="exact"/>
        <w:ind w:firstLine="480" w:firstLineChars="200"/>
        <w:rPr>
          <w:rFonts w:ascii="仿宋" w:hAnsi="仿宋" w:eastAsia="仿宋"/>
          <w:sz w:val="24"/>
        </w:rPr>
      </w:pPr>
      <w:r>
        <w:rPr>
          <w:rFonts w:hint="eastAsia" w:ascii="仿宋" w:hAnsi="仿宋" w:eastAsia="仿宋"/>
          <w:sz w:val="24"/>
        </w:rPr>
        <w:t>9.3当出现下述情况时，本条对保密资料的限制不适用，当保密资料：</w:t>
      </w:r>
    </w:p>
    <w:p>
      <w:pPr>
        <w:spacing w:line="360" w:lineRule="exact"/>
        <w:ind w:firstLine="480" w:firstLineChars="200"/>
        <w:rPr>
          <w:rFonts w:ascii="仿宋" w:hAnsi="仿宋" w:eastAsia="仿宋"/>
          <w:sz w:val="24"/>
        </w:rPr>
      </w:pPr>
      <w:r>
        <w:rPr>
          <w:rFonts w:hint="eastAsia" w:ascii="仿宋" w:hAnsi="仿宋" w:eastAsia="仿宋"/>
          <w:sz w:val="24"/>
        </w:rPr>
        <w:t>（1）并非资料接受方的过错而已经进入公有领域的；</w:t>
      </w:r>
    </w:p>
    <w:p>
      <w:pPr>
        <w:spacing w:line="360" w:lineRule="exact"/>
        <w:ind w:firstLine="480" w:firstLineChars="200"/>
        <w:rPr>
          <w:rFonts w:ascii="仿宋" w:hAnsi="仿宋" w:eastAsia="仿宋"/>
          <w:sz w:val="24"/>
        </w:rPr>
      </w:pPr>
      <w:r>
        <w:rPr>
          <w:rFonts w:hint="eastAsia" w:ascii="仿宋" w:hAnsi="仿宋" w:eastAsia="仿宋"/>
          <w:sz w:val="24"/>
        </w:rPr>
        <w:t>（2）已通过该方的有关记录证明是由资料接受方独立开发的；</w:t>
      </w:r>
    </w:p>
    <w:p>
      <w:pPr>
        <w:spacing w:line="360" w:lineRule="exact"/>
        <w:ind w:firstLine="480" w:firstLineChars="200"/>
        <w:rPr>
          <w:rFonts w:ascii="仿宋" w:hAnsi="仿宋" w:eastAsia="仿宋"/>
          <w:sz w:val="24"/>
        </w:rPr>
      </w:pPr>
      <w:r>
        <w:rPr>
          <w:rFonts w:hint="eastAsia" w:ascii="仿宋" w:hAnsi="仿宋" w:eastAsia="仿宋"/>
          <w:sz w:val="24"/>
        </w:rPr>
        <w:t>（3）由资料接受方从没有违反对资料披露方的保密义务的人取得的;或法律要求资料接受方披露的，但资料接受方应在合理的时间提前通知资料披露方，使其得以采取其认为必要的保护措施。</w:t>
      </w:r>
    </w:p>
    <w:p>
      <w:pPr>
        <w:adjustRightInd w:val="0"/>
        <w:snapToGrid w:val="0"/>
        <w:spacing w:line="360" w:lineRule="exact"/>
        <w:ind w:firstLine="480" w:firstLineChars="200"/>
        <w:rPr>
          <w:rFonts w:ascii="仿宋" w:hAnsi="仿宋" w:eastAsia="仿宋"/>
          <w:sz w:val="24"/>
        </w:rPr>
      </w:pPr>
      <w:r>
        <w:rPr>
          <w:rFonts w:hint="eastAsia" w:ascii="仿宋" w:hAnsi="仿宋" w:eastAsia="仿宋"/>
          <w:sz w:val="24"/>
        </w:rPr>
        <w:t>9.4本合同保密期限为合同生效之日起三年。</w:t>
      </w:r>
    </w:p>
    <w:p>
      <w:pPr>
        <w:spacing w:line="360" w:lineRule="exact"/>
        <w:ind w:firstLine="482" w:firstLineChars="200"/>
        <w:rPr>
          <w:rFonts w:ascii="仿宋" w:hAnsi="仿宋" w:eastAsia="仿宋"/>
          <w:b/>
          <w:sz w:val="24"/>
        </w:rPr>
      </w:pPr>
      <w:r>
        <w:rPr>
          <w:rFonts w:hint="eastAsia" w:ascii="仿宋" w:hAnsi="仿宋" w:eastAsia="仿宋"/>
          <w:b/>
          <w:sz w:val="24"/>
        </w:rPr>
        <w:t>第十条 不可抗力</w:t>
      </w:r>
    </w:p>
    <w:p>
      <w:pPr>
        <w:spacing w:line="360" w:lineRule="exact"/>
        <w:ind w:firstLine="480" w:firstLineChars="200"/>
        <w:rPr>
          <w:rFonts w:ascii="仿宋" w:hAnsi="仿宋" w:eastAsia="仿宋"/>
          <w:sz w:val="24"/>
        </w:rPr>
      </w:pPr>
      <w:r>
        <w:rPr>
          <w:rFonts w:hint="eastAsia" w:ascii="仿宋" w:hAnsi="仿宋" w:eastAsia="仿宋"/>
          <w:sz w:val="24"/>
        </w:rPr>
        <w:t>10.1本合同所称不可抗力，是指本合同各方由于地震、台风、水灾、战争以及其它不能预见，并且对其发生和后果不能防止或不能避免且不可克服的客观情况。</w:t>
      </w:r>
    </w:p>
    <w:p>
      <w:pPr>
        <w:spacing w:line="360" w:lineRule="exact"/>
        <w:ind w:firstLine="480" w:firstLineChars="200"/>
        <w:rPr>
          <w:rFonts w:ascii="仿宋" w:hAnsi="仿宋" w:eastAsia="仿宋"/>
          <w:sz w:val="24"/>
        </w:rPr>
      </w:pPr>
      <w:r>
        <w:rPr>
          <w:rFonts w:hint="eastAsia" w:ascii="仿宋" w:hAnsi="仿宋" w:eastAsia="仿宋"/>
          <w:sz w:val="24"/>
        </w:rPr>
        <w:t>10.2本合同任何一方因不可抗力不能履行或不能完全履行本合同的义务时，应在不可抗力发生之日起的30日内通知本合同的其它方，并在不可抗力发生之日起的90日内向其它方提供由有关部门出具的不可抗力证明。</w:t>
      </w:r>
    </w:p>
    <w:p>
      <w:pPr>
        <w:spacing w:line="360" w:lineRule="exact"/>
        <w:ind w:firstLine="480" w:firstLineChars="200"/>
        <w:rPr>
          <w:rFonts w:ascii="仿宋" w:hAnsi="仿宋" w:eastAsia="仿宋"/>
          <w:sz w:val="24"/>
        </w:rPr>
      </w:pPr>
      <w:r>
        <w:rPr>
          <w:rFonts w:hint="eastAsia" w:ascii="仿宋" w:hAnsi="仿宋" w:eastAsia="仿宋"/>
          <w:sz w:val="24"/>
        </w:rPr>
        <w:t>10.3因不可抗力不能履行合同的，根据不可抗力的影响，部分或全部免除责任，但法律另有规定的除外。迟延履行合同后发生不可抗力的，不能免除责任。</w:t>
      </w:r>
    </w:p>
    <w:p>
      <w:pPr>
        <w:spacing w:line="360" w:lineRule="exact"/>
        <w:ind w:firstLine="480" w:firstLineChars="200"/>
        <w:rPr>
          <w:rFonts w:ascii="仿宋" w:hAnsi="仿宋" w:eastAsia="仿宋"/>
          <w:sz w:val="24"/>
        </w:rPr>
      </w:pPr>
      <w:r>
        <w:rPr>
          <w:rFonts w:hint="eastAsia" w:ascii="仿宋" w:hAnsi="仿宋" w:eastAsia="仿宋"/>
          <w:sz w:val="24"/>
        </w:rPr>
        <w:t>10.4如果因不可抗力的影响致使本合同中止履行90日以上时，甲方或者乙方均有权利终止本合同，并书面通知对方。</w:t>
      </w:r>
    </w:p>
    <w:p>
      <w:pPr>
        <w:adjustRightInd w:val="0"/>
        <w:snapToGrid w:val="0"/>
        <w:spacing w:line="360" w:lineRule="exact"/>
        <w:ind w:firstLine="482" w:firstLineChars="200"/>
        <w:outlineLvl w:val="0"/>
        <w:rPr>
          <w:rFonts w:ascii="仿宋" w:hAnsi="仿宋" w:eastAsia="仿宋" w:cs="仿宋_GB2312"/>
          <w:b/>
          <w:bCs/>
          <w:sz w:val="24"/>
        </w:rPr>
      </w:pPr>
      <w:r>
        <w:rPr>
          <w:rFonts w:hint="eastAsia" w:ascii="仿宋" w:hAnsi="仿宋" w:eastAsia="仿宋" w:cs="仿宋_GB2312"/>
          <w:b/>
          <w:bCs/>
          <w:sz w:val="24"/>
        </w:rPr>
        <w:t>第十一条 适用法律和争议解决</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11.1本合同适用中华人民共和国法律。</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11.2所有因本合同引起的或与本合同有关的任何争议将通过双方友好协商解决。如果双方不能通过友好协商解决争议，则任何一方均可向[</w:t>
      </w:r>
      <w:bookmarkStart w:id="2" w:name="IDC_DISPUTE_SETTLEMENT"/>
      <w:r>
        <w:rPr>
          <w:rFonts w:hint="eastAsia" w:ascii="仿宋" w:hAnsi="仿宋" w:eastAsia="仿宋" w:cs="仿宋_GB2312"/>
          <w:sz w:val="24"/>
        </w:rPr>
        <w:t>甲方</w:t>
      </w:r>
      <w:bookmarkEnd w:id="2"/>
      <w:r>
        <w:rPr>
          <w:rFonts w:hint="eastAsia" w:ascii="仿宋" w:hAnsi="仿宋" w:eastAsia="仿宋" w:cs="仿宋_GB2312"/>
          <w:sz w:val="24"/>
        </w:rPr>
        <w:t xml:space="preserve"> ]所在地有管辖权的人民法院起诉。</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11.3诉讼进行过程中，双方将继续履行本合同未涉诉讼的其它部分。</w:t>
      </w:r>
    </w:p>
    <w:p>
      <w:pPr>
        <w:adjustRightInd w:val="0"/>
        <w:snapToGrid w:val="0"/>
        <w:spacing w:line="360" w:lineRule="exact"/>
        <w:ind w:firstLine="482" w:firstLineChars="200"/>
        <w:outlineLvl w:val="0"/>
        <w:rPr>
          <w:rFonts w:ascii="仿宋" w:hAnsi="仿宋" w:eastAsia="仿宋" w:cs="仿宋_GB2312"/>
          <w:b/>
          <w:bCs/>
          <w:sz w:val="24"/>
        </w:rPr>
      </w:pPr>
      <w:r>
        <w:rPr>
          <w:rFonts w:hint="eastAsia" w:ascii="仿宋" w:hAnsi="仿宋" w:eastAsia="仿宋" w:cs="仿宋_GB2312"/>
          <w:b/>
          <w:bCs/>
          <w:sz w:val="24"/>
        </w:rPr>
        <w:t>第十二条 合同生效及其他</w:t>
      </w:r>
    </w:p>
    <w:p>
      <w:pPr>
        <w:widowControl/>
        <w:autoSpaceDE w:val="0"/>
        <w:autoSpaceDN w:val="0"/>
        <w:spacing w:line="360" w:lineRule="exact"/>
        <w:ind w:firstLine="480" w:firstLineChars="200"/>
        <w:textAlignment w:val="bottom"/>
        <w:rPr>
          <w:rFonts w:ascii="仿宋" w:hAnsi="仿宋" w:eastAsia="仿宋" w:cs="仿宋_GB2312"/>
          <w:sz w:val="24"/>
        </w:rPr>
      </w:pPr>
      <w:r>
        <w:rPr>
          <w:rFonts w:hint="eastAsia" w:ascii="仿宋" w:hAnsi="仿宋" w:eastAsia="仿宋" w:cs="仿宋_GB2312"/>
          <w:sz w:val="24"/>
        </w:rPr>
        <w:t>12.1本合同自双方签字盖章之日起生效。</w:t>
      </w:r>
    </w:p>
    <w:p>
      <w:pPr>
        <w:widowControl/>
        <w:autoSpaceDE w:val="0"/>
        <w:autoSpaceDN w:val="0"/>
        <w:spacing w:line="360" w:lineRule="exact"/>
        <w:ind w:firstLine="480" w:firstLineChars="200"/>
        <w:textAlignment w:val="bottom"/>
        <w:rPr>
          <w:rFonts w:ascii="仿宋" w:hAnsi="仿宋" w:eastAsia="仿宋" w:cs="仿宋_GB2312"/>
          <w:sz w:val="24"/>
        </w:rPr>
      </w:pPr>
      <w:r>
        <w:rPr>
          <w:rFonts w:hint="eastAsia" w:ascii="仿宋" w:hAnsi="仿宋" w:eastAsia="仿宋" w:cs="仿宋_GB2312"/>
          <w:sz w:val="24"/>
        </w:rPr>
        <w:t>12.2本合同一式[肆]份，甲乙双方各执[贰]份，具有同等法律效力。</w:t>
      </w:r>
    </w:p>
    <w:p>
      <w:pPr>
        <w:widowControl/>
        <w:autoSpaceDE w:val="0"/>
        <w:autoSpaceDN w:val="0"/>
        <w:spacing w:line="360" w:lineRule="exact"/>
        <w:ind w:firstLine="480" w:firstLineChars="200"/>
        <w:textAlignment w:val="bottom"/>
        <w:rPr>
          <w:rFonts w:ascii="仿宋" w:hAnsi="仿宋" w:eastAsia="仿宋" w:cs="仿宋_GB2312"/>
          <w:sz w:val="24"/>
        </w:rPr>
      </w:pPr>
      <w:r>
        <w:rPr>
          <w:rFonts w:hint="eastAsia" w:ascii="仿宋" w:hAnsi="仿宋" w:eastAsia="仿宋" w:cs="仿宋_GB2312"/>
          <w:sz w:val="24"/>
        </w:rPr>
        <w:t>12.3任何一方未经另一方同意，不得向任何第三方透露本合同的签订及其内容（包括但不限于项目技术方案、业务报价等）。乙方向其关联公司透露的，不在此限。</w:t>
      </w:r>
    </w:p>
    <w:p>
      <w:pPr>
        <w:widowControl/>
        <w:autoSpaceDE w:val="0"/>
        <w:autoSpaceDN w:val="0"/>
        <w:spacing w:line="360" w:lineRule="exact"/>
        <w:ind w:firstLine="480" w:firstLineChars="200"/>
        <w:textAlignment w:val="bottom"/>
        <w:rPr>
          <w:rFonts w:ascii="仿宋" w:hAnsi="仿宋" w:eastAsia="仿宋" w:cs="仿宋_GB2312"/>
          <w:sz w:val="24"/>
        </w:rPr>
      </w:pPr>
      <w:r>
        <w:rPr>
          <w:rFonts w:hint="eastAsia" w:ascii="仿宋" w:hAnsi="仿宋" w:eastAsia="仿宋" w:cs="仿宋_GB2312"/>
          <w:sz w:val="24"/>
        </w:rPr>
        <w:t>12.4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widowControl/>
        <w:autoSpaceDE w:val="0"/>
        <w:autoSpaceDN w:val="0"/>
        <w:spacing w:line="360" w:lineRule="exact"/>
        <w:ind w:firstLine="480" w:firstLineChars="200"/>
        <w:textAlignment w:val="bottom"/>
        <w:rPr>
          <w:rFonts w:ascii="仿宋" w:hAnsi="仿宋" w:eastAsia="仿宋" w:cs="仿宋_GB2312"/>
          <w:sz w:val="24"/>
        </w:rPr>
      </w:pPr>
      <w:r>
        <w:rPr>
          <w:rFonts w:hint="eastAsia" w:ascii="仿宋" w:hAnsi="仿宋" w:eastAsia="仿宋" w:cs="仿宋_GB2312"/>
          <w:sz w:val="24"/>
        </w:rPr>
        <w:t>12.5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widowControl/>
        <w:autoSpaceDE w:val="0"/>
        <w:autoSpaceDN w:val="0"/>
        <w:spacing w:line="360" w:lineRule="exact"/>
        <w:ind w:firstLine="480" w:firstLineChars="200"/>
        <w:textAlignment w:val="bottom"/>
        <w:rPr>
          <w:rFonts w:ascii="仿宋" w:hAnsi="仿宋" w:eastAsia="仿宋" w:cs="仿宋_GB2312"/>
          <w:sz w:val="24"/>
        </w:rPr>
      </w:pPr>
      <w:r>
        <w:rPr>
          <w:rFonts w:hint="eastAsia" w:ascii="仿宋" w:hAnsi="仿宋" w:eastAsia="仿宋" w:cs="仿宋_GB2312"/>
          <w:sz w:val="24"/>
        </w:rPr>
        <w:t>12.6本合同的任何内容不应被视为或解释为双方之间具有合资、合伙、代理关系。</w:t>
      </w:r>
    </w:p>
    <w:p>
      <w:pPr>
        <w:widowControl/>
        <w:autoSpaceDE w:val="0"/>
        <w:autoSpaceDN w:val="0"/>
        <w:spacing w:line="360" w:lineRule="exact"/>
        <w:ind w:firstLine="480" w:firstLineChars="200"/>
        <w:textAlignment w:val="bottom"/>
        <w:rPr>
          <w:rFonts w:ascii="仿宋" w:hAnsi="仿宋" w:eastAsia="仿宋" w:cs="仿宋_GB2312"/>
          <w:sz w:val="24"/>
        </w:rPr>
      </w:pPr>
      <w:r>
        <w:rPr>
          <w:rFonts w:hint="eastAsia" w:ascii="仿宋" w:hAnsi="仿宋" w:eastAsia="仿宋" w:cs="仿宋_GB2312"/>
          <w:sz w:val="24"/>
        </w:rPr>
        <w:t>12.7本合同替代此前双方所有关于本合同事项的口头或书面的纪要、备忘录、合同和协议。</w:t>
      </w:r>
    </w:p>
    <w:p>
      <w:pPr>
        <w:widowControl/>
        <w:autoSpaceDE w:val="0"/>
        <w:autoSpaceDN w:val="0"/>
        <w:spacing w:line="360" w:lineRule="exact"/>
        <w:ind w:firstLine="480" w:firstLineChars="200"/>
        <w:textAlignment w:val="bottom"/>
        <w:rPr>
          <w:rFonts w:ascii="仿宋" w:hAnsi="仿宋" w:eastAsia="仿宋" w:cs="仿宋_GB2312"/>
          <w:sz w:val="24"/>
        </w:rPr>
      </w:pPr>
      <w:r>
        <w:rPr>
          <w:rFonts w:hint="eastAsia" w:ascii="仿宋" w:hAnsi="仿宋" w:eastAsia="仿宋" w:cs="仿宋_GB2312"/>
          <w:sz w:val="24"/>
        </w:rPr>
        <w:t>12.8双方因履行本合同或与本合同有关的一切通知都必须按照本合同中的地址，以书面信函形式或双方确认的通讯方式进行。采用信函形式的应使用挂号信或者具有良好信誉的特快专递送达。如使用挂号信件或特快专递，通知日期即为邮件寄出日期并以邮戳为准</w:t>
      </w:r>
      <w:r>
        <w:rPr>
          <w:rFonts w:hint="eastAsia" w:ascii="仿宋" w:hAnsi="仿宋" w:eastAsia="仿宋"/>
          <w:sz w:val="24"/>
        </w:rPr>
        <w:t>。</w:t>
      </w:r>
      <w:r>
        <w:rPr>
          <w:rFonts w:hint="eastAsia" w:ascii="仿宋" w:hAnsi="仿宋" w:eastAsia="仿宋"/>
          <w:color w:val="000000"/>
          <w:sz w:val="24"/>
        </w:rPr>
        <w:t>如使用挂号信件或特快专递方式</w:t>
      </w:r>
      <w:r>
        <w:rPr>
          <w:rFonts w:hint="eastAsia" w:ascii="仿宋" w:hAnsi="仿宋" w:eastAsia="仿宋"/>
          <w:sz w:val="24"/>
        </w:rPr>
        <w:t>，接受方签收挂号信或特快专递的时间（以邮局或快递公司系统记录为准）为通知送达时间；如果因接受方原因（包括但不限于接受方拒收书面信函、接受方电子邮箱地址不存在或者邮箱已满或者设置拒收等）导致通知发送失败，视为通知已经送达（发送方载明的书面信函寄出时间或者电子邮件发送时间视为通知送达时间）</w:t>
      </w:r>
    </w:p>
    <w:p>
      <w:pPr>
        <w:widowControl/>
        <w:autoSpaceDE w:val="0"/>
        <w:autoSpaceDN w:val="0"/>
        <w:spacing w:line="360" w:lineRule="exact"/>
        <w:ind w:firstLine="480" w:firstLineChars="200"/>
        <w:textAlignment w:val="bottom"/>
        <w:rPr>
          <w:rFonts w:ascii="仿宋" w:hAnsi="仿宋" w:eastAsia="仿宋"/>
          <w:sz w:val="24"/>
        </w:rPr>
      </w:pPr>
    </w:p>
    <w:p>
      <w:pPr>
        <w:spacing w:line="360" w:lineRule="exact"/>
        <w:ind w:firstLine="480" w:firstLineChars="200"/>
        <w:jc w:val="left"/>
        <w:rPr>
          <w:rFonts w:ascii="仿宋" w:hAnsi="仿宋" w:eastAsia="仿宋" w:cs="仿宋_GB2312"/>
          <w:sz w:val="24"/>
        </w:rPr>
      </w:pPr>
      <w:r>
        <w:rPr>
          <w:rFonts w:hint="eastAsia" w:ascii="仿宋" w:hAnsi="仿宋" w:eastAsia="仿宋"/>
          <w:sz w:val="24"/>
        </w:rPr>
        <w:t>甲方（签章）:</w:t>
      </w:r>
      <w:r>
        <w:rPr>
          <w:rFonts w:hint="eastAsia" w:ascii="仿宋" w:hAnsi="仿宋" w:eastAsia="仿宋" w:cs="仿宋_GB2312"/>
          <w:b/>
          <w:bCs/>
          <w:sz w:val="28"/>
          <w:szCs w:val="28"/>
        </w:rPr>
        <w:t xml:space="preserve"> </w:t>
      </w:r>
    </w:p>
    <w:p>
      <w:pPr>
        <w:widowControl/>
        <w:autoSpaceDE w:val="0"/>
        <w:autoSpaceDN w:val="0"/>
        <w:spacing w:line="360" w:lineRule="exact"/>
        <w:textAlignment w:val="bottom"/>
        <w:rPr>
          <w:rFonts w:ascii="仿宋" w:hAnsi="仿宋" w:eastAsia="仿宋"/>
          <w:sz w:val="24"/>
        </w:rPr>
      </w:pPr>
    </w:p>
    <w:p>
      <w:pPr>
        <w:widowControl/>
        <w:autoSpaceDE w:val="0"/>
        <w:autoSpaceDN w:val="0"/>
        <w:spacing w:line="360" w:lineRule="exact"/>
        <w:ind w:firstLine="480" w:firstLineChars="200"/>
        <w:textAlignment w:val="bottom"/>
        <w:rPr>
          <w:rFonts w:ascii="仿宋" w:hAnsi="仿宋" w:eastAsia="仿宋"/>
          <w:sz w:val="24"/>
        </w:rPr>
      </w:pPr>
      <w:r>
        <w:rPr>
          <w:rFonts w:hint="eastAsia" w:ascii="仿宋" w:hAnsi="仿宋" w:eastAsia="仿宋"/>
          <w:sz w:val="24"/>
        </w:rPr>
        <w:t xml:space="preserve">法定代表人或授权代表(签名)： </w:t>
      </w:r>
    </w:p>
    <w:p>
      <w:pPr>
        <w:widowControl/>
        <w:autoSpaceDE w:val="0"/>
        <w:autoSpaceDN w:val="0"/>
        <w:spacing w:line="360" w:lineRule="exact"/>
        <w:ind w:firstLine="480" w:firstLineChars="200"/>
        <w:textAlignment w:val="bottom"/>
        <w:rPr>
          <w:rFonts w:ascii="仿宋" w:hAnsi="仿宋" w:eastAsia="仿宋"/>
          <w:sz w:val="24"/>
        </w:rPr>
      </w:pPr>
    </w:p>
    <w:p>
      <w:pPr>
        <w:widowControl/>
        <w:autoSpaceDE w:val="0"/>
        <w:autoSpaceDN w:val="0"/>
        <w:spacing w:line="360" w:lineRule="exact"/>
        <w:ind w:firstLine="480" w:firstLineChars="200"/>
        <w:textAlignment w:val="bottom"/>
        <w:rPr>
          <w:rFonts w:ascii="仿宋" w:hAnsi="仿宋" w:eastAsia="仿宋"/>
          <w:sz w:val="24"/>
        </w:rPr>
      </w:pPr>
      <w:r>
        <w:rPr>
          <w:rFonts w:hint="eastAsia" w:ascii="仿宋" w:hAnsi="仿宋" w:eastAsia="仿宋"/>
          <w:sz w:val="24"/>
        </w:rPr>
        <w:t>日期：</w:t>
      </w:r>
    </w:p>
    <w:p>
      <w:pPr>
        <w:widowControl/>
        <w:autoSpaceDE w:val="0"/>
        <w:autoSpaceDN w:val="0"/>
        <w:spacing w:line="360" w:lineRule="exact"/>
        <w:ind w:firstLine="480" w:firstLineChars="200"/>
        <w:textAlignment w:val="bottom"/>
        <w:rPr>
          <w:rFonts w:ascii="仿宋" w:hAnsi="仿宋" w:eastAsia="仿宋"/>
          <w:sz w:val="24"/>
        </w:rPr>
      </w:pPr>
    </w:p>
    <w:p>
      <w:pPr>
        <w:widowControl/>
        <w:autoSpaceDE w:val="0"/>
        <w:autoSpaceDN w:val="0"/>
        <w:spacing w:line="360" w:lineRule="exact"/>
        <w:ind w:firstLine="480" w:firstLineChars="200"/>
        <w:textAlignment w:val="bottom"/>
        <w:rPr>
          <w:rFonts w:ascii="仿宋" w:hAnsi="仿宋" w:eastAsia="仿宋"/>
          <w:sz w:val="24"/>
        </w:rPr>
      </w:pPr>
    </w:p>
    <w:p>
      <w:pPr>
        <w:widowControl/>
        <w:autoSpaceDE w:val="0"/>
        <w:autoSpaceDN w:val="0"/>
        <w:spacing w:line="360" w:lineRule="exact"/>
        <w:ind w:firstLine="480" w:firstLineChars="200"/>
        <w:textAlignment w:val="bottom"/>
        <w:rPr>
          <w:rFonts w:ascii="仿宋" w:hAnsi="仿宋" w:eastAsia="仿宋"/>
          <w:sz w:val="24"/>
        </w:rPr>
      </w:pPr>
    </w:p>
    <w:p>
      <w:pPr>
        <w:widowControl/>
        <w:autoSpaceDE w:val="0"/>
        <w:autoSpaceDN w:val="0"/>
        <w:spacing w:line="360" w:lineRule="exact"/>
        <w:ind w:firstLine="480" w:firstLineChars="200"/>
        <w:textAlignment w:val="bottom"/>
        <w:rPr>
          <w:rFonts w:ascii="仿宋" w:hAnsi="仿宋" w:eastAsia="仿宋"/>
          <w:sz w:val="24"/>
        </w:rPr>
      </w:pPr>
      <w:r>
        <w:rPr>
          <w:rFonts w:hint="eastAsia" w:ascii="仿宋" w:hAnsi="仿宋" w:eastAsia="仿宋"/>
          <w:sz w:val="24"/>
        </w:rPr>
        <w:t xml:space="preserve">乙方（签章）: </w:t>
      </w:r>
    </w:p>
    <w:p>
      <w:pPr>
        <w:widowControl/>
        <w:autoSpaceDE w:val="0"/>
        <w:autoSpaceDN w:val="0"/>
        <w:spacing w:line="360" w:lineRule="exact"/>
        <w:ind w:firstLine="480" w:firstLineChars="200"/>
        <w:textAlignment w:val="bottom"/>
        <w:rPr>
          <w:rFonts w:ascii="仿宋" w:hAnsi="仿宋" w:eastAsia="仿宋"/>
          <w:sz w:val="24"/>
        </w:rPr>
      </w:pPr>
    </w:p>
    <w:p>
      <w:pPr>
        <w:widowControl/>
        <w:autoSpaceDE w:val="0"/>
        <w:autoSpaceDN w:val="0"/>
        <w:spacing w:line="360" w:lineRule="exact"/>
        <w:ind w:firstLine="480" w:firstLineChars="200"/>
        <w:textAlignment w:val="bottom"/>
        <w:rPr>
          <w:rFonts w:ascii="仿宋" w:hAnsi="仿宋" w:eastAsia="仿宋"/>
          <w:sz w:val="24"/>
        </w:rPr>
      </w:pPr>
      <w:r>
        <w:rPr>
          <w:rFonts w:hint="eastAsia" w:ascii="仿宋" w:hAnsi="仿宋" w:eastAsia="仿宋"/>
          <w:sz w:val="24"/>
        </w:rPr>
        <w:t>法定代表人或授权代表(签名)：</w:t>
      </w:r>
    </w:p>
    <w:p>
      <w:pPr>
        <w:widowControl/>
        <w:autoSpaceDE w:val="0"/>
        <w:autoSpaceDN w:val="0"/>
        <w:spacing w:line="360" w:lineRule="exact"/>
        <w:ind w:firstLine="480" w:firstLineChars="200"/>
        <w:textAlignment w:val="bottom"/>
        <w:rPr>
          <w:rFonts w:ascii="仿宋" w:hAnsi="仿宋" w:eastAsia="仿宋"/>
          <w:sz w:val="24"/>
        </w:rPr>
      </w:pPr>
    </w:p>
    <w:p>
      <w:pPr>
        <w:widowControl/>
        <w:autoSpaceDE w:val="0"/>
        <w:autoSpaceDN w:val="0"/>
        <w:spacing w:line="360" w:lineRule="exact"/>
        <w:ind w:firstLine="480" w:firstLineChars="200"/>
        <w:textAlignment w:val="bottom"/>
        <w:rPr>
          <w:rFonts w:ascii="仿宋" w:hAnsi="仿宋" w:eastAsia="仿宋"/>
          <w:sz w:val="24"/>
        </w:rPr>
      </w:pPr>
      <w:r>
        <w:rPr>
          <w:rFonts w:hint="eastAsia" w:ascii="仿宋" w:hAnsi="仿宋" w:eastAsia="仿宋"/>
          <w:sz w:val="24"/>
        </w:rPr>
        <w:t>日期：</w:t>
      </w:r>
    </w:p>
    <w:p/>
    <w:p>
      <w:pPr>
        <w:pStyle w:val="5"/>
        <w:sectPr>
          <w:pgSz w:w="11906" w:h="16838"/>
          <w:pgMar w:top="1383" w:right="1080" w:bottom="986" w:left="1080" w:header="851" w:footer="709" w:gutter="0"/>
          <w:cols w:space="720" w:num="1"/>
          <w:docGrid w:linePitch="312" w:charSpace="0"/>
        </w:sectPr>
      </w:pPr>
    </w:p>
    <w:p>
      <w:pPr>
        <w:pStyle w:val="3"/>
        <w:jc w:val="center"/>
        <w:rPr>
          <w:rFonts w:ascii="宋体" w:hAnsi="宋体"/>
          <w:kern w:val="0"/>
          <w:sz w:val="24"/>
        </w:rPr>
      </w:pPr>
      <w:r>
        <w:rPr>
          <w:rFonts w:hint="eastAsia" w:ascii="宋体" w:hAnsi="宋体"/>
          <w:kern w:val="0"/>
          <w:sz w:val="24"/>
        </w:rPr>
        <w:t>第四章    投标文件格式</w:t>
      </w:r>
    </w:p>
    <w:p>
      <w:pPr>
        <w:ind w:firstLine="482" w:firstLineChars="200"/>
        <w:rPr>
          <w:rFonts w:ascii="宋体" w:hAnsi="宋体"/>
          <w:b/>
          <w:bCs/>
          <w:kern w:val="0"/>
          <w:sz w:val="24"/>
        </w:rPr>
      </w:pPr>
      <w:r>
        <w:rPr>
          <w:rFonts w:hint="eastAsia" w:ascii="宋体" w:hAnsi="宋体"/>
          <w:b/>
          <w:sz w:val="24"/>
        </w:rPr>
        <w:t xml:space="preserve">   投标人提交文件须知：</w:t>
      </w:r>
    </w:p>
    <w:p>
      <w:pPr>
        <w:pStyle w:val="15"/>
        <w:numPr>
          <w:ilvl w:val="0"/>
          <w:numId w:val="0"/>
        </w:numPr>
        <w:ind w:firstLine="480" w:firstLineChars="200"/>
        <w:rPr>
          <w:b/>
          <w:sz w:val="24"/>
          <w:szCs w:val="24"/>
        </w:rPr>
      </w:pPr>
      <w:r>
        <w:rPr>
          <w:rFonts w:hint="eastAsia"/>
          <w:sz w:val="24"/>
          <w:szCs w:val="24"/>
        </w:rPr>
        <w:t>1．磋商文件中有投标文件格式模板的，按本文件提供的模板填写；没有模板的，投标人自行编制。投标文件的编写顺序按“</w:t>
      </w:r>
      <w:r>
        <w:rPr>
          <w:rFonts w:hint="eastAsia"/>
          <w:i/>
          <w:sz w:val="24"/>
          <w:szCs w:val="24"/>
        </w:rPr>
        <w:t>第一章总则 4.投标文件的编制</w:t>
      </w:r>
      <w:r>
        <w:rPr>
          <w:rFonts w:hint="eastAsia"/>
          <w:sz w:val="24"/>
          <w:szCs w:val="24"/>
        </w:rPr>
        <w:t>”要求进行，混乱的编排以致投标文件被误读或采购人查找不到有效文件，后果由投标人承担</w:t>
      </w:r>
    </w:p>
    <w:p>
      <w:pPr>
        <w:pStyle w:val="15"/>
        <w:numPr>
          <w:ilvl w:val="0"/>
          <w:numId w:val="0"/>
        </w:numPr>
        <w:ind w:firstLine="480" w:firstLineChars="200"/>
        <w:rPr>
          <w:sz w:val="24"/>
          <w:szCs w:val="24"/>
        </w:rPr>
      </w:pPr>
      <w:r>
        <w:rPr>
          <w:rFonts w:hint="eastAsia"/>
          <w:sz w:val="24"/>
          <w:szCs w:val="24"/>
        </w:rPr>
        <w:t>2.所附表格中要求回答的全部问题和信息都必须正面回答。</w:t>
      </w:r>
    </w:p>
    <w:p>
      <w:pPr>
        <w:pStyle w:val="15"/>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pPr>
        <w:pStyle w:val="15"/>
        <w:numPr>
          <w:ilvl w:val="0"/>
          <w:numId w:val="0"/>
        </w:numPr>
        <w:rPr>
          <w:b/>
          <w:sz w:val="24"/>
          <w:szCs w:val="24"/>
        </w:rPr>
      </w:pPr>
      <w:r>
        <w:rPr>
          <w:rFonts w:hint="eastAsia"/>
          <w:b/>
          <w:sz w:val="24"/>
          <w:szCs w:val="24"/>
        </w:rPr>
        <w:br w:type="page"/>
      </w:r>
      <w:r>
        <w:rPr>
          <w:rFonts w:hint="eastAsia"/>
          <w:b/>
          <w:sz w:val="24"/>
          <w:szCs w:val="24"/>
        </w:rPr>
        <w:t>(一)投标函</w:t>
      </w:r>
    </w:p>
    <w:p>
      <w:pPr>
        <w:pStyle w:val="18"/>
        <w:adjustRightInd/>
        <w:rPr>
          <w:kern w:val="2"/>
          <w:sz w:val="24"/>
          <w:szCs w:val="24"/>
        </w:rPr>
      </w:pPr>
      <w:r>
        <w:rPr>
          <w:rFonts w:hint="eastAsia"/>
          <w:kern w:val="2"/>
          <w:sz w:val="24"/>
          <w:szCs w:val="24"/>
          <w:u w:val="single"/>
        </w:rPr>
        <w:t>江苏师范大学科文学院</w:t>
      </w:r>
      <w:r>
        <w:rPr>
          <w:rFonts w:hint="eastAsia"/>
          <w:kern w:val="2"/>
          <w:sz w:val="24"/>
          <w:szCs w:val="24"/>
        </w:rPr>
        <w:t>：</w:t>
      </w:r>
    </w:p>
    <w:p>
      <w:pPr>
        <w:widowControl/>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(投标人全称)授权</w:t>
      </w:r>
      <w:r>
        <w:rPr>
          <w:rFonts w:hint="eastAsia" w:ascii="宋体" w:hAnsi="宋体"/>
          <w:sz w:val="24"/>
          <w:u w:val="single"/>
        </w:rPr>
        <w:t xml:space="preserve">         </w:t>
      </w:r>
      <w:r>
        <w:rPr>
          <w:rFonts w:hint="eastAsia" w:ascii="宋体" w:hAnsi="宋体"/>
          <w:sz w:val="24"/>
        </w:rPr>
        <w:t>(投标人代表姓名)</w:t>
      </w:r>
      <w:r>
        <w:rPr>
          <w:rFonts w:hint="eastAsia" w:ascii="宋体" w:hAnsi="宋体"/>
          <w:sz w:val="24"/>
          <w:u w:val="single"/>
        </w:rPr>
        <w:t xml:space="preserve">           </w:t>
      </w:r>
      <w:r>
        <w:rPr>
          <w:rFonts w:hint="eastAsia" w:ascii="宋体" w:hAnsi="宋体"/>
          <w:sz w:val="24"/>
        </w:rPr>
        <w:t>(职务、职称)为我方代表，参加贵方组织的</w:t>
      </w:r>
      <w:r>
        <w:rPr>
          <w:rFonts w:hint="eastAsia" w:ascii="宋体" w:hAnsi="宋体"/>
          <w:sz w:val="24"/>
          <w:u w:val="single"/>
        </w:rPr>
        <w:t xml:space="preserve">                          </w:t>
      </w:r>
      <w:r>
        <w:rPr>
          <w:rFonts w:hint="eastAsia" w:ascii="宋体" w:hAnsi="宋体"/>
          <w:sz w:val="24"/>
        </w:rPr>
        <w:t>(项目名称、项目编号)采购的有关活动，并对此项目进行投标，为此：</w:t>
      </w:r>
    </w:p>
    <w:p>
      <w:pPr>
        <w:pStyle w:val="15"/>
        <w:numPr>
          <w:ilvl w:val="0"/>
          <w:numId w:val="0"/>
        </w:numPr>
        <w:ind w:left="2" w:leftChars="1" w:firstLine="480" w:firstLineChars="200"/>
        <w:rPr>
          <w:sz w:val="24"/>
          <w:szCs w:val="24"/>
        </w:rPr>
      </w:pPr>
      <w:r>
        <w:rPr>
          <w:rFonts w:hint="eastAsia"/>
          <w:sz w:val="24"/>
          <w:szCs w:val="24"/>
        </w:rPr>
        <w:t>1.我方同意在本项目招标文件中规定的投标日起</w:t>
      </w:r>
      <w:r>
        <w:rPr>
          <w:rFonts w:hint="eastAsia"/>
          <w:color w:val="000000"/>
          <w:sz w:val="24"/>
          <w:szCs w:val="24"/>
          <w:u w:val="single"/>
        </w:rPr>
        <w:t>90日内</w:t>
      </w:r>
      <w:r>
        <w:rPr>
          <w:rFonts w:hint="eastAsia"/>
          <w:sz w:val="24"/>
          <w:szCs w:val="24"/>
        </w:rPr>
        <w:t>遵守本文中的承诺且在此期限期满之前均具有约束力。</w:t>
      </w:r>
    </w:p>
    <w:p>
      <w:pPr>
        <w:pStyle w:val="15"/>
        <w:numPr>
          <w:ilvl w:val="0"/>
          <w:numId w:val="0"/>
        </w:numPr>
        <w:ind w:left="2" w:leftChars="1" w:firstLine="480" w:firstLineChars="200"/>
        <w:rPr>
          <w:sz w:val="24"/>
          <w:szCs w:val="24"/>
        </w:rPr>
      </w:pPr>
      <w:r>
        <w:rPr>
          <w:rFonts w:hint="eastAsia"/>
          <w:sz w:val="24"/>
          <w:szCs w:val="24"/>
        </w:rPr>
        <w:t>2.我方承诺已经具备《中华人民共和国政府采购法》中规定的参加政府采购活动的供应商应当具备及本项目规定的资格条件。</w:t>
      </w:r>
    </w:p>
    <w:p>
      <w:pPr>
        <w:pStyle w:val="15"/>
        <w:numPr>
          <w:ilvl w:val="0"/>
          <w:numId w:val="0"/>
        </w:numPr>
        <w:ind w:left="2" w:leftChars="1" w:firstLine="480" w:firstLineChars="200"/>
        <w:rPr>
          <w:sz w:val="24"/>
          <w:szCs w:val="24"/>
        </w:rPr>
      </w:pPr>
      <w:r>
        <w:rPr>
          <w:rFonts w:hint="eastAsia"/>
          <w:sz w:val="24"/>
          <w:szCs w:val="24"/>
        </w:rPr>
        <w:t>3.提供投标须知规定的全部招标文件，包括招标文件</w:t>
      </w:r>
      <w:r>
        <w:rPr>
          <w:rFonts w:hint="eastAsia"/>
          <w:b/>
          <w:sz w:val="24"/>
          <w:szCs w:val="24"/>
        </w:rPr>
        <w:t>正本1份，副本4份</w:t>
      </w:r>
      <w:r>
        <w:rPr>
          <w:rFonts w:hint="eastAsia"/>
          <w:sz w:val="24"/>
          <w:szCs w:val="24"/>
        </w:rPr>
        <w:t>。</w:t>
      </w:r>
    </w:p>
    <w:p>
      <w:pPr>
        <w:pStyle w:val="15"/>
        <w:numPr>
          <w:ilvl w:val="0"/>
          <w:numId w:val="0"/>
        </w:numPr>
        <w:ind w:left="2" w:leftChars="1" w:firstLine="480" w:firstLineChars="200"/>
        <w:rPr>
          <w:sz w:val="24"/>
          <w:szCs w:val="24"/>
        </w:rPr>
      </w:pPr>
      <w:r>
        <w:rPr>
          <w:rFonts w:hint="eastAsia"/>
          <w:sz w:val="24"/>
          <w:szCs w:val="24"/>
        </w:rPr>
        <w:t>4.按招标文件要求提供和交付的货物和服务的投标详见报价明细表及服务方案。</w:t>
      </w:r>
    </w:p>
    <w:p>
      <w:pPr>
        <w:pStyle w:val="15"/>
        <w:numPr>
          <w:ilvl w:val="0"/>
          <w:numId w:val="0"/>
        </w:numPr>
        <w:ind w:left="2" w:leftChars="1" w:firstLine="480" w:firstLineChars="200"/>
        <w:rPr>
          <w:sz w:val="24"/>
          <w:szCs w:val="24"/>
        </w:rPr>
      </w:pPr>
      <w:r>
        <w:rPr>
          <w:rFonts w:hint="eastAsia"/>
          <w:sz w:val="24"/>
          <w:szCs w:val="24"/>
        </w:rPr>
        <w:t>5.保证忠实执行双方签订的合同，并承担合同规定的责任和义务。</w:t>
      </w:r>
    </w:p>
    <w:p>
      <w:pPr>
        <w:pStyle w:val="15"/>
        <w:numPr>
          <w:ilvl w:val="0"/>
          <w:numId w:val="0"/>
        </w:numPr>
        <w:ind w:left="2" w:leftChars="1" w:firstLine="480" w:firstLineChars="200"/>
        <w:rPr>
          <w:sz w:val="24"/>
          <w:szCs w:val="24"/>
        </w:rPr>
      </w:pPr>
      <w:r>
        <w:rPr>
          <w:rFonts w:hint="eastAsia"/>
          <w:sz w:val="24"/>
          <w:szCs w:val="24"/>
        </w:rPr>
        <w:t>6.保证遵守招标文件的各项规定。</w:t>
      </w:r>
    </w:p>
    <w:p>
      <w:pPr>
        <w:pStyle w:val="15"/>
        <w:numPr>
          <w:ilvl w:val="0"/>
          <w:numId w:val="0"/>
        </w:numPr>
        <w:ind w:left="2" w:leftChars="1" w:firstLine="480" w:firstLineChars="200"/>
        <w:rPr>
          <w:sz w:val="24"/>
          <w:szCs w:val="24"/>
        </w:rPr>
      </w:pPr>
      <w:r>
        <w:rPr>
          <w:rFonts w:hint="eastAsia"/>
          <w:sz w:val="24"/>
          <w:szCs w:val="24"/>
        </w:rPr>
        <w:t>7.如果在规定的投标有效期内撤回投标，我方同意将被列入不良记录名单。</w:t>
      </w:r>
    </w:p>
    <w:p>
      <w:pPr>
        <w:pStyle w:val="15"/>
        <w:numPr>
          <w:ilvl w:val="0"/>
          <w:numId w:val="0"/>
        </w:numPr>
        <w:ind w:left="2" w:leftChars="1" w:firstLine="480" w:firstLineChars="200"/>
        <w:rPr>
          <w:sz w:val="24"/>
          <w:szCs w:val="24"/>
        </w:rPr>
      </w:pPr>
      <w:r>
        <w:rPr>
          <w:rFonts w:hint="eastAsia"/>
          <w:sz w:val="24"/>
          <w:szCs w:val="24"/>
        </w:rPr>
        <w:t>8.我方完全理解贵方不一定接受最低价的投标。</w:t>
      </w:r>
    </w:p>
    <w:p>
      <w:pPr>
        <w:pStyle w:val="15"/>
        <w:numPr>
          <w:ilvl w:val="0"/>
          <w:numId w:val="0"/>
        </w:numPr>
        <w:ind w:left="2" w:leftChars="1" w:firstLine="480" w:firstLineChars="200"/>
        <w:rPr>
          <w:sz w:val="24"/>
          <w:szCs w:val="24"/>
        </w:rPr>
      </w:pPr>
      <w:r>
        <w:rPr>
          <w:rFonts w:hint="eastAsia"/>
          <w:sz w:val="24"/>
          <w:szCs w:val="24"/>
        </w:rPr>
        <w:t>9.我方愿意向贵方提供任何与本项投标有关的数据、情况和技术资料。如果贵方需要，我方愿意提供我方做出的一切承诺的证明材料。</w:t>
      </w:r>
    </w:p>
    <w:p>
      <w:pPr>
        <w:pStyle w:val="15"/>
        <w:numPr>
          <w:ilvl w:val="0"/>
          <w:numId w:val="0"/>
        </w:numPr>
        <w:ind w:left="2" w:leftChars="1" w:firstLine="480" w:firstLineChars="200"/>
        <w:rPr>
          <w:sz w:val="24"/>
          <w:szCs w:val="24"/>
        </w:rPr>
      </w:pPr>
      <w:r>
        <w:rPr>
          <w:rFonts w:hint="eastAsia"/>
          <w:sz w:val="24"/>
          <w:szCs w:val="24"/>
        </w:rPr>
        <w:t>10.我方承诺：采购人如果需追加采购本项目招标文件所列货物及相关服务的，在不改变合同其他实质性条款的前提下，按相同或更优惠的折扣保证供货。</w:t>
      </w:r>
    </w:p>
    <w:p>
      <w:pPr>
        <w:pStyle w:val="15"/>
        <w:numPr>
          <w:ilvl w:val="0"/>
          <w:numId w:val="0"/>
        </w:numPr>
        <w:ind w:left="2" w:leftChars="1" w:firstLine="480" w:firstLineChars="200"/>
        <w:rPr>
          <w:sz w:val="24"/>
          <w:szCs w:val="24"/>
        </w:rPr>
      </w:pPr>
      <w:r>
        <w:rPr>
          <w:rFonts w:hint="eastAsia"/>
          <w:sz w:val="24"/>
          <w:szCs w:val="24"/>
        </w:rPr>
        <w:t>11.我方承诺接受招标文件中《成交合同》的全部条款且无任何异议。</w:t>
      </w:r>
    </w:p>
    <w:p>
      <w:pPr>
        <w:pStyle w:val="15"/>
        <w:numPr>
          <w:ilvl w:val="0"/>
          <w:numId w:val="0"/>
        </w:numPr>
        <w:ind w:left="2" w:leftChars="1" w:firstLine="480" w:firstLineChars="200"/>
        <w:rPr>
          <w:sz w:val="24"/>
          <w:szCs w:val="24"/>
        </w:rPr>
      </w:pPr>
      <w:r>
        <w:rPr>
          <w:rFonts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58"/>
        </w:numPr>
        <w:ind w:left="0" w:firstLine="480" w:firstLineChars="200"/>
        <w:rPr>
          <w:rFonts w:ascii="宋体" w:hAnsi="宋体"/>
          <w:sz w:val="24"/>
        </w:rPr>
      </w:pPr>
      <w:r>
        <w:rPr>
          <w:rFonts w:hint="eastAsia" w:ascii="宋体" w:hAnsi="宋体"/>
          <w:sz w:val="24"/>
        </w:rPr>
        <w:t>提供虚假材料谋取成交的；</w:t>
      </w:r>
    </w:p>
    <w:p>
      <w:pPr>
        <w:numPr>
          <w:ilvl w:val="0"/>
          <w:numId w:val="58"/>
        </w:numPr>
        <w:ind w:left="0" w:firstLine="480" w:firstLineChars="200"/>
        <w:rPr>
          <w:rFonts w:ascii="宋体" w:hAnsi="宋体"/>
          <w:sz w:val="24"/>
        </w:rPr>
      </w:pPr>
      <w:r>
        <w:rPr>
          <w:rFonts w:hint="eastAsia" w:ascii="宋体" w:hAnsi="宋体"/>
          <w:sz w:val="24"/>
        </w:rPr>
        <w:t>采取不正当手段诋毁、排挤其他供应商的；</w:t>
      </w:r>
    </w:p>
    <w:p>
      <w:pPr>
        <w:numPr>
          <w:ilvl w:val="0"/>
          <w:numId w:val="58"/>
        </w:numPr>
        <w:ind w:left="0" w:firstLine="480" w:firstLineChars="200"/>
        <w:rPr>
          <w:rFonts w:ascii="宋体" w:hAnsi="宋体"/>
          <w:sz w:val="24"/>
        </w:rPr>
      </w:pPr>
      <w:r>
        <w:rPr>
          <w:rFonts w:hint="eastAsia" w:ascii="宋体" w:hAnsi="宋体"/>
          <w:sz w:val="24"/>
        </w:rPr>
        <w:t>与采购人、其它供应商或者采购人工作人员恶意串通的；</w:t>
      </w:r>
    </w:p>
    <w:p>
      <w:pPr>
        <w:numPr>
          <w:ilvl w:val="0"/>
          <w:numId w:val="58"/>
        </w:numPr>
        <w:ind w:left="0" w:firstLine="480" w:firstLineChars="200"/>
        <w:rPr>
          <w:rFonts w:ascii="宋体" w:hAnsi="宋体"/>
          <w:sz w:val="24"/>
        </w:rPr>
      </w:pPr>
      <w:r>
        <w:rPr>
          <w:rFonts w:hint="eastAsia" w:ascii="宋体" w:hAnsi="宋体"/>
          <w:sz w:val="24"/>
        </w:rPr>
        <w:t>向采购人、采购人工作人员行贿或者提供其他不正当利益的；</w:t>
      </w:r>
    </w:p>
    <w:p>
      <w:pPr>
        <w:numPr>
          <w:ilvl w:val="0"/>
          <w:numId w:val="58"/>
        </w:numPr>
        <w:ind w:left="0" w:firstLine="480" w:firstLineChars="200"/>
        <w:rPr>
          <w:rFonts w:ascii="宋体" w:hAnsi="宋体"/>
          <w:sz w:val="24"/>
        </w:rPr>
      </w:pPr>
      <w:r>
        <w:rPr>
          <w:rFonts w:hint="eastAsia" w:ascii="宋体" w:hAnsi="宋体"/>
          <w:sz w:val="24"/>
        </w:rPr>
        <w:t>未经采购人同意，在采购过程中与采购人进行协商招标的；</w:t>
      </w:r>
    </w:p>
    <w:p>
      <w:pPr>
        <w:numPr>
          <w:ilvl w:val="0"/>
          <w:numId w:val="58"/>
        </w:numPr>
        <w:ind w:left="0" w:firstLine="480" w:firstLineChars="200"/>
        <w:rPr>
          <w:rFonts w:ascii="宋体" w:hAnsi="宋体"/>
          <w:sz w:val="24"/>
        </w:rPr>
      </w:pPr>
      <w:r>
        <w:rPr>
          <w:rFonts w:hint="eastAsia" w:ascii="宋体" w:hAnsi="宋体"/>
          <w:sz w:val="24"/>
        </w:rPr>
        <w:t>拒绝有关部门监督检查或提供虚假情况的；</w:t>
      </w:r>
    </w:p>
    <w:p>
      <w:pPr>
        <w:numPr>
          <w:ilvl w:val="0"/>
          <w:numId w:val="58"/>
        </w:numPr>
        <w:ind w:left="0" w:firstLine="480" w:firstLineChars="200"/>
        <w:rPr>
          <w:rFonts w:ascii="宋体" w:hAnsi="宋体"/>
          <w:sz w:val="24"/>
        </w:rPr>
      </w:pPr>
      <w:r>
        <w:rPr>
          <w:rFonts w:hint="eastAsia" w:ascii="宋体" w:hAnsi="宋体"/>
          <w:sz w:val="24"/>
        </w:rPr>
        <w:t>拒绝质量技术监督部门对投标样品或成交货物作质量检验的。</w:t>
      </w:r>
    </w:p>
    <w:p>
      <w:pPr>
        <w:ind w:firstLine="480" w:firstLineChars="200"/>
        <w:rPr>
          <w:rFonts w:ascii="宋体" w:hAnsi="宋体"/>
          <w:sz w:val="24"/>
        </w:rPr>
      </w:pPr>
      <w:r>
        <w:rPr>
          <w:rFonts w:hint="eastAsia" w:ascii="宋体" w:hAnsi="宋体"/>
          <w:sz w:val="24"/>
        </w:rPr>
        <w:t>与本投标有关的一切往来通讯请寄：</w:t>
      </w:r>
    </w:p>
    <w:p>
      <w:pPr>
        <w:tabs>
          <w:tab w:val="left" w:pos="480"/>
        </w:tabs>
        <w:ind w:firstLine="480" w:firstLineChars="200"/>
        <w:rPr>
          <w:rFonts w:ascii="宋体" w:hAnsi="宋体"/>
          <w:sz w:val="24"/>
        </w:rPr>
      </w:pPr>
      <w:r>
        <w:rPr>
          <w:rFonts w:hint="eastAsia" w:ascii="宋体" w:hAnsi="宋体"/>
          <w:sz w:val="24"/>
        </w:rPr>
        <w:t xml:space="preserve">地址：__________________________  </w:t>
      </w:r>
    </w:p>
    <w:p>
      <w:pPr>
        <w:tabs>
          <w:tab w:val="left" w:pos="480"/>
        </w:tabs>
        <w:ind w:firstLine="480" w:firstLineChars="200"/>
        <w:rPr>
          <w:rFonts w:ascii="宋体" w:hAnsi="宋体"/>
          <w:sz w:val="24"/>
        </w:rPr>
      </w:pPr>
      <w:r>
        <w:rPr>
          <w:rFonts w:hint="eastAsia" w:ascii="宋体" w:hAnsi="宋体"/>
          <w:sz w:val="24"/>
        </w:rPr>
        <w:t>邮编：__________________________</w:t>
      </w:r>
    </w:p>
    <w:p>
      <w:pPr>
        <w:tabs>
          <w:tab w:val="left" w:pos="480"/>
        </w:tabs>
        <w:ind w:firstLine="480" w:firstLineChars="200"/>
        <w:rPr>
          <w:rFonts w:ascii="宋体" w:hAnsi="宋体"/>
          <w:sz w:val="24"/>
        </w:rPr>
      </w:pPr>
      <w:r>
        <w:rPr>
          <w:rFonts w:hint="eastAsia" w:ascii="宋体" w:hAnsi="宋体"/>
          <w:sz w:val="24"/>
        </w:rPr>
        <w:t>电话：</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w:t>
      </w:r>
      <w:r>
        <w:rPr>
          <w:rFonts w:hint="eastAsia" w:ascii="宋体" w:hAnsi="宋体"/>
          <w:sz w:val="24"/>
          <w:u w:val="single"/>
        </w:rPr>
        <w:t xml:space="preserve">                  （公章）</w:t>
      </w:r>
    </w:p>
    <w:p>
      <w:pPr>
        <w:ind w:firstLine="480" w:firstLineChars="200"/>
        <w:rPr>
          <w:rFonts w:ascii="宋体" w:hAnsi="宋体"/>
          <w:sz w:val="24"/>
        </w:rPr>
      </w:pPr>
      <w:r>
        <w:rPr>
          <w:rFonts w:hint="eastAsia" w:ascii="宋体" w:hAnsi="宋体"/>
          <w:sz w:val="24"/>
        </w:rPr>
        <w:t>法定代表人签字：_________________</w:t>
      </w:r>
    </w:p>
    <w:p>
      <w:pPr>
        <w:ind w:firstLine="480" w:firstLineChars="200"/>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pPr>
        <w:ind w:firstLine="5040" w:firstLineChars="2100"/>
        <w:rPr>
          <w:rFonts w:ascii="宋体" w:hAnsi="宋体"/>
          <w:sz w:val="24"/>
        </w:rPr>
      </w:pPr>
    </w:p>
    <w:p>
      <w:pPr>
        <w:ind w:firstLine="5040" w:firstLineChars="2100"/>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bookmarkStart w:id="3" w:name="_Toc20988289"/>
      <w:bookmarkStart w:id="4" w:name="_Toc20816120"/>
      <w:bookmarkStart w:id="5" w:name="_Toc21000519"/>
      <w:bookmarkStart w:id="6" w:name="_Toc20642290"/>
      <w:bookmarkStart w:id="7" w:name="_Toc36287943"/>
      <w:bookmarkStart w:id="8" w:name="_Toc21001363"/>
    </w:p>
    <w:p>
      <w:pPr>
        <w:jc w:val="left"/>
        <w:rPr>
          <w:rFonts w:ascii="宋体" w:hAnsi="宋体"/>
          <w:sz w:val="24"/>
        </w:rPr>
      </w:pPr>
      <w:r>
        <w:rPr>
          <w:rFonts w:hint="eastAsia" w:ascii="宋体" w:hAnsi="宋体"/>
          <w:b/>
          <w:bCs/>
          <w:kern w:val="0"/>
          <w:sz w:val="24"/>
        </w:rPr>
        <w:br w:type="page"/>
      </w:r>
      <w:r>
        <w:rPr>
          <w:rFonts w:hint="eastAsia" w:ascii="宋体" w:hAnsi="宋体"/>
          <w:b/>
          <w:bCs/>
          <w:kern w:val="0"/>
          <w:sz w:val="24"/>
        </w:rPr>
        <w:t>（二）投标报价一览表</w:t>
      </w:r>
    </w:p>
    <w:p>
      <w:pPr>
        <w:rPr>
          <w:rFonts w:ascii="宋体" w:hAnsi="宋体"/>
          <w:b/>
          <w:bCs/>
          <w:color w:val="000000"/>
          <w:sz w:val="24"/>
        </w:rPr>
      </w:pPr>
    </w:p>
    <w:tbl>
      <w:tblPr>
        <w:tblStyle w:val="10"/>
        <w:tblW w:w="9303" w:type="dxa"/>
        <w:tblInd w:w="95" w:type="dxa"/>
        <w:tblLayout w:type="fixed"/>
        <w:tblCellMar>
          <w:top w:w="0" w:type="dxa"/>
          <w:left w:w="108" w:type="dxa"/>
          <w:bottom w:w="0" w:type="dxa"/>
          <w:right w:w="108" w:type="dxa"/>
        </w:tblCellMar>
      </w:tblPr>
      <w:tblGrid>
        <w:gridCol w:w="722"/>
        <w:gridCol w:w="1219"/>
        <w:gridCol w:w="1011"/>
        <w:gridCol w:w="1709"/>
        <w:gridCol w:w="1933"/>
        <w:gridCol w:w="1221"/>
        <w:gridCol w:w="1488"/>
      </w:tblGrid>
      <w:tr>
        <w:tblPrEx>
          <w:tblCellMar>
            <w:top w:w="0" w:type="dxa"/>
            <w:left w:w="108" w:type="dxa"/>
            <w:bottom w:w="0" w:type="dxa"/>
            <w:right w:w="108" w:type="dxa"/>
          </w:tblCellMar>
        </w:tblPrEx>
        <w:trPr>
          <w:trHeight w:val="455" w:hRule="atLeast"/>
        </w:trPr>
        <w:tc>
          <w:tcPr>
            <w:tcW w:w="722" w:type="dxa"/>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ascii="宋体" w:hAnsi="宋体" w:cs="华文楷体"/>
                <w:b/>
                <w:color w:val="000000"/>
                <w:kern w:val="0"/>
                <w:szCs w:val="21"/>
              </w:rPr>
            </w:pPr>
            <w:r>
              <w:rPr>
                <w:rFonts w:hint="eastAsia" w:ascii="宋体" w:hAnsi="宋体" w:cs="华文楷体"/>
                <w:b/>
                <w:color w:val="000000"/>
                <w:kern w:val="0"/>
                <w:szCs w:val="21"/>
              </w:rPr>
              <w:t>序号</w:t>
            </w:r>
          </w:p>
        </w:tc>
        <w:tc>
          <w:tcPr>
            <w:tcW w:w="1219"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宋体" w:hAnsi="宋体" w:cs="华文楷体"/>
                <w:b/>
                <w:color w:val="000000"/>
                <w:kern w:val="0"/>
                <w:szCs w:val="21"/>
              </w:rPr>
            </w:pPr>
            <w:r>
              <w:rPr>
                <w:rFonts w:hint="eastAsia" w:ascii="宋体" w:hAnsi="宋体" w:cs="华文楷体"/>
                <w:b/>
                <w:color w:val="000000"/>
                <w:kern w:val="0"/>
                <w:szCs w:val="21"/>
              </w:rPr>
              <w:t>设备名称</w:t>
            </w:r>
          </w:p>
        </w:tc>
        <w:tc>
          <w:tcPr>
            <w:tcW w:w="1011"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宋体" w:hAnsi="宋体" w:cs="华文楷体"/>
                <w:b/>
                <w:color w:val="000000"/>
                <w:kern w:val="0"/>
                <w:szCs w:val="21"/>
              </w:rPr>
            </w:pPr>
            <w:r>
              <w:rPr>
                <w:rFonts w:hint="eastAsia" w:ascii="宋体" w:hAnsi="宋体" w:cs="华文楷体"/>
                <w:b/>
                <w:color w:val="000000"/>
                <w:kern w:val="0"/>
                <w:szCs w:val="21"/>
              </w:rPr>
              <w:t>数量</w:t>
            </w:r>
          </w:p>
        </w:tc>
        <w:tc>
          <w:tcPr>
            <w:tcW w:w="1709"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宋体" w:hAnsi="宋体" w:cs="华文楷体"/>
                <w:b/>
                <w:color w:val="000000"/>
                <w:kern w:val="0"/>
                <w:szCs w:val="21"/>
              </w:rPr>
            </w:pPr>
            <w:r>
              <w:rPr>
                <w:rFonts w:hint="eastAsia" w:ascii="宋体" w:hAnsi="宋体" w:cs="华文楷体"/>
                <w:b/>
                <w:color w:val="000000"/>
                <w:kern w:val="0"/>
                <w:szCs w:val="21"/>
              </w:rPr>
              <w:t>品牌型号</w:t>
            </w:r>
          </w:p>
        </w:tc>
        <w:tc>
          <w:tcPr>
            <w:tcW w:w="1933"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宋体" w:hAnsi="宋体" w:cs="华文楷体"/>
                <w:b/>
                <w:color w:val="000000"/>
                <w:kern w:val="0"/>
                <w:szCs w:val="21"/>
              </w:rPr>
            </w:pPr>
            <w:r>
              <w:rPr>
                <w:rFonts w:hint="eastAsia" w:ascii="宋体" w:hAnsi="宋体" w:cs="华文楷体"/>
                <w:b/>
                <w:color w:val="000000"/>
                <w:kern w:val="0"/>
                <w:szCs w:val="21"/>
              </w:rPr>
              <w:t>规格和技术参数</w:t>
            </w:r>
          </w:p>
        </w:tc>
        <w:tc>
          <w:tcPr>
            <w:tcW w:w="1221"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ascii="宋体" w:hAnsi="宋体" w:cs="华文楷体"/>
                <w:b/>
                <w:color w:val="000000"/>
                <w:kern w:val="0"/>
                <w:szCs w:val="21"/>
              </w:rPr>
            </w:pPr>
            <w:r>
              <w:rPr>
                <w:rFonts w:hint="eastAsia" w:ascii="宋体" w:hAnsi="宋体" w:cs="华文楷体"/>
                <w:b/>
                <w:color w:val="000000"/>
                <w:kern w:val="0"/>
                <w:szCs w:val="21"/>
              </w:rPr>
              <w:t>单价（元）</w:t>
            </w:r>
          </w:p>
        </w:tc>
        <w:tc>
          <w:tcPr>
            <w:tcW w:w="1488" w:type="dxa"/>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ascii="宋体" w:hAnsi="宋体" w:cs="华文楷体"/>
                <w:b/>
                <w:color w:val="000000"/>
                <w:kern w:val="0"/>
                <w:szCs w:val="21"/>
              </w:rPr>
            </w:pPr>
            <w:r>
              <w:rPr>
                <w:rFonts w:hint="eastAsia" w:ascii="宋体" w:hAnsi="宋体" w:cs="华文楷体"/>
                <w:b/>
                <w:color w:val="000000"/>
                <w:kern w:val="0"/>
                <w:szCs w:val="21"/>
              </w:rPr>
              <w:t>总价（元）</w:t>
            </w:r>
          </w:p>
        </w:tc>
      </w:tr>
      <w:tr>
        <w:tblPrEx>
          <w:tblCellMar>
            <w:top w:w="0" w:type="dxa"/>
            <w:left w:w="108" w:type="dxa"/>
            <w:bottom w:w="0" w:type="dxa"/>
            <w:right w:w="108" w:type="dxa"/>
          </w:tblCellMar>
        </w:tblPrEx>
        <w:trPr>
          <w:trHeight w:val="90" w:hRule="atLeast"/>
        </w:trPr>
        <w:tc>
          <w:tcPr>
            <w:tcW w:w="722" w:type="dxa"/>
            <w:tcBorders>
              <w:top w:val="nil"/>
              <w:left w:val="single" w:color="auto" w:sz="4" w:space="0"/>
              <w:bottom w:val="single" w:color="auto" w:sz="4" w:space="0"/>
              <w:right w:val="single" w:color="auto" w:sz="4" w:space="0"/>
            </w:tcBorders>
            <w:vAlign w:val="center"/>
          </w:tcPr>
          <w:p>
            <w:pPr>
              <w:widowControl/>
              <w:jc w:val="center"/>
              <w:rPr>
                <w:rFonts w:ascii="宋体" w:hAnsi="宋体" w:cs="华文楷体"/>
                <w:color w:val="000000"/>
                <w:kern w:val="0"/>
                <w:szCs w:val="21"/>
              </w:rPr>
            </w:pPr>
            <w:r>
              <w:rPr>
                <w:rFonts w:hint="eastAsia" w:ascii="宋体" w:hAnsi="宋体" w:cs="华文楷体"/>
                <w:color w:val="000000"/>
                <w:kern w:val="0"/>
                <w:szCs w:val="21"/>
              </w:rPr>
              <w:t>1</w:t>
            </w:r>
          </w:p>
        </w:tc>
        <w:tc>
          <w:tcPr>
            <w:tcW w:w="1219" w:type="dxa"/>
            <w:tcBorders>
              <w:top w:val="nil"/>
              <w:left w:val="nil"/>
              <w:bottom w:val="single" w:color="auto" w:sz="4" w:space="0"/>
              <w:right w:val="single" w:color="auto" w:sz="4" w:space="0"/>
            </w:tcBorders>
            <w:vAlign w:val="center"/>
          </w:tcPr>
          <w:p>
            <w:pPr>
              <w:spacing w:line="340" w:lineRule="exact"/>
              <w:jc w:val="center"/>
              <w:rPr>
                <w:rFonts w:ascii="宋体" w:hAnsi="宋体" w:cs="华文楷体"/>
                <w:color w:val="000000"/>
                <w:sz w:val="24"/>
              </w:rPr>
            </w:pPr>
          </w:p>
        </w:tc>
        <w:tc>
          <w:tcPr>
            <w:tcW w:w="1011" w:type="dxa"/>
            <w:tcBorders>
              <w:top w:val="nil"/>
              <w:left w:val="nil"/>
              <w:bottom w:val="single" w:color="auto" w:sz="4" w:space="0"/>
              <w:right w:val="single" w:color="auto" w:sz="4" w:space="0"/>
            </w:tcBorders>
            <w:vAlign w:val="center"/>
          </w:tcPr>
          <w:p>
            <w:pPr>
              <w:widowControl/>
              <w:jc w:val="center"/>
              <w:rPr>
                <w:rFonts w:ascii="宋体" w:hAnsi="宋体" w:cs="华文楷体"/>
                <w:color w:val="000000"/>
                <w:kern w:val="0"/>
                <w:szCs w:val="21"/>
              </w:rPr>
            </w:pPr>
          </w:p>
        </w:tc>
        <w:tc>
          <w:tcPr>
            <w:tcW w:w="1709" w:type="dxa"/>
            <w:tcBorders>
              <w:top w:val="nil"/>
              <w:left w:val="nil"/>
              <w:bottom w:val="single" w:color="auto" w:sz="4" w:space="0"/>
              <w:right w:val="single" w:color="auto" w:sz="4" w:space="0"/>
            </w:tcBorders>
            <w:vAlign w:val="center"/>
          </w:tcPr>
          <w:p>
            <w:pPr>
              <w:widowControl/>
              <w:spacing w:line="500" w:lineRule="exact"/>
              <w:jc w:val="center"/>
              <w:rPr>
                <w:rFonts w:ascii="宋体" w:hAnsi="宋体" w:cs="华文楷体"/>
                <w:color w:val="000000"/>
                <w:kern w:val="0"/>
                <w:szCs w:val="21"/>
              </w:rPr>
            </w:pPr>
          </w:p>
        </w:tc>
        <w:tc>
          <w:tcPr>
            <w:tcW w:w="1933" w:type="dxa"/>
            <w:tcBorders>
              <w:top w:val="nil"/>
              <w:left w:val="nil"/>
              <w:bottom w:val="single" w:color="auto" w:sz="4" w:space="0"/>
              <w:right w:val="single" w:color="auto" w:sz="4" w:space="0"/>
            </w:tcBorders>
            <w:vAlign w:val="center"/>
          </w:tcPr>
          <w:p>
            <w:pPr>
              <w:widowControl/>
              <w:jc w:val="center"/>
              <w:rPr>
                <w:rFonts w:ascii="宋体" w:hAnsi="宋体" w:cs="华文楷体"/>
                <w:color w:val="000000"/>
                <w:kern w:val="0"/>
                <w:szCs w:val="21"/>
              </w:rPr>
            </w:pPr>
          </w:p>
        </w:tc>
        <w:tc>
          <w:tcPr>
            <w:tcW w:w="1221"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华文楷体"/>
                <w:color w:val="000000"/>
                <w:kern w:val="0"/>
                <w:szCs w:val="21"/>
              </w:rPr>
            </w:pPr>
          </w:p>
        </w:tc>
        <w:tc>
          <w:tcPr>
            <w:tcW w:w="1488"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华文楷体"/>
                <w:color w:val="000000"/>
                <w:kern w:val="0"/>
                <w:szCs w:val="21"/>
              </w:rPr>
            </w:pPr>
          </w:p>
        </w:tc>
      </w:tr>
      <w:tr>
        <w:tblPrEx>
          <w:tblCellMar>
            <w:top w:w="0" w:type="dxa"/>
            <w:left w:w="108" w:type="dxa"/>
            <w:bottom w:w="0" w:type="dxa"/>
            <w:right w:w="108" w:type="dxa"/>
          </w:tblCellMar>
        </w:tblPrEx>
        <w:trPr>
          <w:trHeight w:val="256" w:hRule="atLeast"/>
        </w:trPr>
        <w:tc>
          <w:tcPr>
            <w:tcW w:w="722" w:type="dxa"/>
            <w:tcBorders>
              <w:top w:val="nil"/>
              <w:left w:val="single" w:color="auto" w:sz="4" w:space="0"/>
              <w:bottom w:val="single" w:color="auto" w:sz="4" w:space="0"/>
              <w:right w:val="single" w:color="auto" w:sz="4" w:space="0"/>
            </w:tcBorders>
            <w:vAlign w:val="center"/>
          </w:tcPr>
          <w:p>
            <w:pPr>
              <w:widowControl/>
              <w:jc w:val="center"/>
              <w:rPr>
                <w:rFonts w:ascii="宋体" w:hAnsi="宋体" w:cs="华文楷体"/>
                <w:color w:val="000000"/>
                <w:kern w:val="0"/>
                <w:szCs w:val="21"/>
              </w:rPr>
            </w:pPr>
            <w:r>
              <w:rPr>
                <w:rFonts w:hint="eastAsia" w:ascii="宋体" w:hAnsi="宋体" w:cs="华文楷体"/>
                <w:color w:val="000000"/>
                <w:kern w:val="0"/>
                <w:szCs w:val="21"/>
              </w:rPr>
              <w:t>2</w:t>
            </w:r>
          </w:p>
        </w:tc>
        <w:tc>
          <w:tcPr>
            <w:tcW w:w="1219" w:type="dxa"/>
            <w:tcBorders>
              <w:top w:val="nil"/>
              <w:left w:val="nil"/>
              <w:bottom w:val="single" w:color="auto" w:sz="4" w:space="0"/>
              <w:right w:val="single" w:color="auto" w:sz="4" w:space="0"/>
            </w:tcBorders>
            <w:vAlign w:val="center"/>
          </w:tcPr>
          <w:p>
            <w:pPr>
              <w:spacing w:line="340" w:lineRule="exact"/>
              <w:jc w:val="center"/>
              <w:rPr>
                <w:rFonts w:ascii="宋体" w:hAnsi="宋体" w:cs="华文楷体"/>
                <w:color w:val="000000"/>
                <w:sz w:val="24"/>
              </w:rPr>
            </w:pPr>
          </w:p>
        </w:tc>
        <w:tc>
          <w:tcPr>
            <w:tcW w:w="1011" w:type="dxa"/>
            <w:tcBorders>
              <w:top w:val="nil"/>
              <w:left w:val="nil"/>
              <w:bottom w:val="single" w:color="auto" w:sz="4" w:space="0"/>
              <w:right w:val="single" w:color="auto" w:sz="4" w:space="0"/>
            </w:tcBorders>
            <w:vAlign w:val="center"/>
          </w:tcPr>
          <w:p>
            <w:pPr>
              <w:widowControl/>
              <w:jc w:val="center"/>
              <w:rPr>
                <w:rFonts w:ascii="宋体" w:hAnsi="宋体" w:cs="华文楷体"/>
                <w:color w:val="000000"/>
                <w:kern w:val="0"/>
                <w:szCs w:val="21"/>
              </w:rPr>
            </w:pPr>
          </w:p>
        </w:tc>
        <w:tc>
          <w:tcPr>
            <w:tcW w:w="1709" w:type="dxa"/>
            <w:tcBorders>
              <w:top w:val="nil"/>
              <w:left w:val="nil"/>
              <w:bottom w:val="single" w:color="auto" w:sz="4" w:space="0"/>
              <w:right w:val="single" w:color="auto" w:sz="4" w:space="0"/>
            </w:tcBorders>
            <w:vAlign w:val="center"/>
          </w:tcPr>
          <w:p>
            <w:pPr>
              <w:widowControl/>
              <w:spacing w:line="500" w:lineRule="exact"/>
              <w:jc w:val="center"/>
              <w:rPr>
                <w:rFonts w:ascii="宋体" w:hAnsi="宋体" w:cs="华文楷体"/>
                <w:color w:val="000000"/>
                <w:kern w:val="0"/>
                <w:szCs w:val="21"/>
              </w:rPr>
            </w:pPr>
          </w:p>
        </w:tc>
        <w:tc>
          <w:tcPr>
            <w:tcW w:w="1933" w:type="dxa"/>
            <w:tcBorders>
              <w:top w:val="nil"/>
              <w:left w:val="nil"/>
              <w:bottom w:val="single" w:color="auto" w:sz="4" w:space="0"/>
              <w:right w:val="single" w:color="auto" w:sz="4" w:space="0"/>
            </w:tcBorders>
            <w:vAlign w:val="center"/>
          </w:tcPr>
          <w:p>
            <w:pPr>
              <w:widowControl/>
              <w:jc w:val="center"/>
              <w:rPr>
                <w:rFonts w:ascii="宋体" w:hAnsi="宋体" w:cs="华文楷体"/>
                <w:color w:val="000000"/>
                <w:kern w:val="0"/>
                <w:szCs w:val="21"/>
              </w:rPr>
            </w:pPr>
          </w:p>
        </w:tc>
        <w:tc>
          <w:tcPr>
            <w:tcW w:w="1221" w:type="dxa"/>
            <w:tcBorders>
              <w:top w:val="nil"/>
              <w:left w:val="nil"/>
              <w:bottom w:val="single" w:color="auto" w:sz="4" w:space="0"/>
              <w:right w:val="single" w:color="auto" w:sz="4" w:space="0"/>
            </w:tcBorders>
            <w:vAlign w:val="center"/>
          </w:tcPr>
          <w:p>
            <w:pPr>
              <w:widowControl/>
              <w:jc w:val="center"/>
              <w:rPr>
                <w:rFonts w:ascii="宋体" w:hAnsi="宋体" w:cs="华文楷体"/>
                <w:b/>
                <w:color w:val="000000"/>
                <w:kern w:val="0"/>
                <w:szCs w:val="21"/>
              </w:rPr>
            </w:pPr>
          </w:p>
        </w:tc>
        <w:tc>
          <w:tcPr>
            <w:tcW w:w="1488" w:type="dxa"/>
            <w:tcBorders>
              <w:top w:val="nil"/>
              <w:left w:val="single" w:color="auto" w:sz="4" w:space="0"/>
              <w:bottom w:val="single" w:color="auto" w:sz="4" w:space="0"/>
              <w:right w:val="single" w:color="auto" w:sz="4" w:space="0"/>
            </w:tcBorders>
            <w:vAlign w:val="center"/>
          </w:tcPr>
          <w:p>
            <w:pPr>
              <w:widowControl/>
              <w:jc w:val="center"/>
              <w:rPr>
                <w:rFonts w:ascii="宋体" w:hAnsi="宋体" w:cs="华文楷体"/>
                <w:b/>
                <w:color w:val="000000"/>
                <w:kern w:val="0"/>
                <w:szCs w:val="21"/>
              </w:rPr>
            </w:pPr>
          </w:p>
        </w:tc>
      </w:tr>
      <w:tr>
        <w:tblPrEx>
          <w:tblCellMar>
            <w:top w:w="0" w:type="dxa"/>
            <w:left w:w="108" w:type="dxa"/>
            <w:bottom w:w="0" w:type="dxa"/>
            <w:right w:w="108" w:type="dxa"/>
          </w:tblCellMar>
        </w:tblPrEx>
        <w:trPr>
          <w:trHeight w:val="267" w:hRule="atLeast"/>
        </w:trPr>
        <w:tc>
          <w:tcPr>
            <w:tcW w:w="722" w:type="dxa"/>
            <w:tcBorders>
              <w:top w:val="nil"/>
              <w:left w:val="single" w:color="auto" w:sz="4" w:space="0"/>
              <w:bottom w:val="single" w:color="auto" w:sz="4" w:space="0"/>
              <w:right w:val="single" w:color="auto" w:sz="4" w:space="0"/>
            </w:tcBorders>
            <w:vAlign w:val="center"/>
          </w:tcPr>
          <w:p>
            <w:pPr>
              <w:widowControl/>
              <w:jc w:val="center"/>
              <w:rPr>
                <w:rFonts w:ascii="宋体" w:hAnsi="宋体" w:cs="华文楷体"/>
                <w:color w:val="000000"/>
                <w:kern w:val="0"/>
                <w:szCs w:val="21"/>
              </w:rPr>
            </w:pPr>
            <w:r>
              <w:rPr>
                <w:rFonts w:hint="eastAsia" w:ascii="宋体" w:hAnsi="宋体" w:cs="华文楷体"/>
                <w:color w:val="000000"/>
                <w:kern w:val="0"/>
                <w:szCs w:val="21"/>
              </w:rPr>
              <w:t>3</w:t>
            </w:r>
          </w:p>
        </w:tc>
        <w:tc>
          <w:tcPr>
            <w:tcW w:w="1219" w:type="dxa"/>
            <w:tcBorders>
              <w:top w:val="nil"/>
              <w:left w:val="nil"/>
              <w:bottom w:val="single" w:color="auto" w:sz="4" w:space="0"/>
              <w:right w:val="single" w:color="auto" w:sz="4" w:space="0"/>
            </w:tcBorders>
            <w:vAlign w:val="center"/>
          </w:tcPr>
          <w:p>
            <w:pPr>
              <w:spacing w:line="340" w:lineRule="exact"/>
              <w:jc w:val="center"/>
              <w:rPr>
                <w:rFonts w:ascii="宋体" w:hAnsi="宋体" w:cs="华文楷体"/>
                <w:color w:val="000000"/>
                <w:sz w:val="24"/>
              </w:rPr>
            </w:pPr>
          </w:p>
        </w:tc>
        <w:tc>
          <w:tcPr>
            <w:tcW w:w="1011" w:type="dxa"/>
            <w:tcBorders>
              <w:top w:val="nil"/>
              <w:left w:val="nil"/>
              <w:bottom w:val="single" w:color="auto" w:sz="4" w:space="0"/>
              <w:right w:val="single" w:color="auto" w:sz="4" w:space="0"/>
            </w:tcBorders>
            <w:vAlign w:val="center"/>
          </w:tcPr>
          <w:p>
            <w:pPr>
              <w:widowControl/>
              <w:jc w:val="center"/>
              <w:rPr>
                <w:rFonts w:ascii="宋体" w:hAnsi="宋体" w:cs="华文楷体"/>
                <w:color w:val="000000"/>
                <w:kern w:val="0"/>
                <w:szCs w:val="21"/>
              </w:rPr>
            </w:pPr>
          </w:p>
        </w:tc>
        <w:tc>
          <w:tcPr>
            <w:tcW w:w="1709" w:type="dxa"/>
            <w:tcBorders>
              <w:top w:val="nil"/>
              <w:left w:val="nil"/>
              <w:bottom w:val="single" w:color="auto" w:sz="4" w:space="0"/>
              <w:right w:val="single" w:color="auto" w:sz="4" w:space="0"/>
            </w:tcBorders>
            <w:vAlign w:val="center"/>
          </w:tcPr>
          <w:p>
            <w:pPr>
              <w:widowControl/>
              <w:spacing w:line="500" w:lineRule="exact"/>
              <w:jc w:val="center"/>
              <w:rPr>
                <w:rFonts w:ascii="宋体" w:hAnsi="宋体" w:cs="华文楷体"/>
                <w:color w:val="000000"/>
                <w:kern w:val="0"/>
                <w:szCs w:val="21"/>
              </w:rPr>
            </w:pPr>
          </w:p>
        </w:tc>
        <w:tc>
          <w:tcPr>
            <w:tcW w:w="1933" w:type="dxa"/>
            <w:tcBorders>
              <w:top w:val="nil"/>
              <w:left w:val="nil"/>
              <w:bottom w:val="single" w:color="auto" w:sz="4" w:space="0"/>
              <w:right w:val="single" w:color="auto" w:sz="4" w:space="0"/>
            </w:tcBorders>
            <w:vAlign w:val="center"/>
          </w:tcPr>
          <w:p>
            <w:pPr>
              <w:widowControl/>
              <w:jc w:val="center"/>
              <w:rPr>
                <w:rFonts w:ascii="宋体" w:hAnsi="宋体" w:cs="华文楷体"/>
                <w:color w:val="000000"/>
                <w:kern w:val="0"/>
                <w:szCs w:val="21"/>
              </w:rPr>
            </w:pPr>
          </w:p>
        </w:tc>
        <w:tc>
          <w:tcPr>
            <w:tcW w:w="1221" w:type="dxa"/>
            <w:tcBorders>
              <w:top w:val="nil"/>
              <w:left w:val="nil"/>
              <w:bottom w:val="single" w:color="auto" w:sz="4" w:space="0"/>
              <w:right w:val="single" w:color="auto" w:sz="4" w:space="0"/>
            </w:tcBorders>
            <w:vAlign w:val="center"/>
          </w:tcPr>
          <w:p>
            <w:pPr>
              <w:widowControl/>
              <w:jc w:val="center"/>
              <w:rPr>
                <w:rFonts w:ascii="宋体" w:hAnsi="宋体" w:cs="华文楷体"/>
                <w:b/>
                <w:color w:val="000000"/>
                <w:kern w:val="0"/>
                <w:szCs w:val="21"/>
              </w:rPr>
            </w:pPr>
          </w:p>
        </w:tc>
        <w:tc>
          <w:tcPr>
            <w:tcW w:w="1488" w:type="dxa"/>
            <w:tcBorders>
              <w:top w:val="nil"/>
              <w:left w:val="single" w:color="auto" w:sz="4" w:space="0"/>
              <w:bottom w:val="single" w:color="auto" w:sz="4" w:space="0"/>
              <w:right w:val="single" w:color="auto" w:sz="4" w:space="0"/>
            </w:tcBorders>
            <w:vAlign w:val="center"/>
          </w:tcPr>
          <w:p>
            <w:pPr>
              <w:widowControl/>
              <w:jc w:val="center"/>
              <w:rPr>
                <w:rFonts w:ascii="宋体" w:hAnsi="宋体" w:cs="华文楷体"/>
                <w:b/>
                <w:color w:val="000000"/>
                <w:kern w:val="0"/>
                <w:szCs w:val="21"/>
              </w:rPr>
            </w:pPr>
          </w:p>
        </w:tc>
      </w:tr>
      <w:tr>
        <w:tblPrEx>
          <w:tblCellMar>
            <w:top w:w="0" w:type="dxa"/>
            <w:left w:w="108" w:type="dxa"/>
            <w:bottom w:w="0" w:type="dxa"/>
            <w:right w:w="108" w:type="dxa"/>
          </w:tblCellMar>
        </w:tblPrEx>
        <w:trPr>
          <w:trHeight w:val="538" w:hRule="atLeast"/>
        </w:trPr>
        <w:tc>
          <w:tcPr>
            <w:tcW w:w="7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华文楷体"/>
                <w:color w:val="000000"/>
                <w:kern w:val="0"/>
                <w:szCs w:val="21"/>
              </w:rPr>
            </w:pPr>
            <w:r>
              <w:rPr>
                <w:rFonts w:hint="eastAsia" w:ascii="宋体" w:hAnsi="宋体" w:cs="华文楷体"/>
                <w:color w:val="000000"/>
                <w:kern w:val="0"/>
                <w:szCs w:val="21"/>
              </w:rPr>
              <w:t>4</w:t>
            </w:r>
          </w:p>
        </w:tc>
        <w:tc>
          <w:tcPr>
            <w:tcW w:w="1219"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华文楷体"/>
                <w:color w:val="000000"/>
                <w:sz w:val="24"/>
              </w:rPr>
            </w:pPr>
          </w:p>
        </w:tc>
        <w:tc>
          <w:tcPr>
            <w:tcW w:w="1011" w:type="dxa"/>
            <w:tcBorders>
              <w:top w:val="single" w:color="auto" w:sz="4" w:space="0"/>
              <w:left w:val="nil"/>
              <w:bottom w:val="single" w:color="auto" w:sz="4" w:space="0"/>
              <w:right w:val="single" w:color="auto" w:sz="4" w:space="0"/>
            </w:tcBorders>
            <w:vAlign w:val="center"/>
          </w:tcPr>
          <w:p>
            <w:pPr>
              <w:widowControl/>
              <w:jc w:val="center"/>
              <w:rPr>
                <w:rFonts w:ascii="宋体" w:hAnsi="宋体" w:cs="华文楷体"/>
                <w:color w:val="000000"/>
                <w:kern w:val="0"/>
                <w:szCs w:val="21"/>
              </w:rPr>
            </w:pPr>
          </w:p>
        </w:tc>
        <w:tc>
          <w:tcPr>
            <w:tcW w:w="1709"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hAnsi="宋体" w:cs="华文楷体"/>
                <w:color w:val="000000"/>
                <w:kern w:val="0"/>
                <w:szCs w:val="21"/>
              </w:rPr>
            </w:pPr>
          </w:p>
        </w:tc>
        <w:tc>
          <w:tcPr>
            <w:tcW w:w="1933" w:type="dxa"/>
            <w:tcBorders>
              <w:top w:val="single" w:color="auto" w:sz="4" w:space="0"/>
              <w:left w:val="nil"/>
              <w:bottom w:val="single" w:color="auto" w:sz="4" w:space="0"/>
              <w:right w:val="single" w:color="auto" w:sz="4" w:space="0"/>
            </w:tcBorders>
            <w:vAlign w:val="center"/>
          </w:tcPr>
          <w:p>
            <w:pPr>
              <w:widowControl/>
              <w:jc w:val="center"/>
              <w:rPr>
                <w:rFonts w:ascii="宋体" w:hAnsi="宋体" w:cs="华文楷体"/>
                <w:color w:val="000000"/>
                <w:kern w:val="0"/>
                <w:szCs w:val="21"/>
              </w:rPr>
            </w:pPr>
          </w:p>
        </w:tc>
        <w:tc>
          <w:tcPr>
            <w:tcW w:w="122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华文楷体"/>
                <w:b/>
                <w:color w:val="000000"/>
                <w:kern w:val="0"/>
                <w:szCs w:val="21"/>
              </w:rPr>
            </w:pPr>
          </w:p>
        </w:tc>
        <w:tc>
          <w:tcPr>
            <w:tcW w:w="148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华文楷体"/>
                <w:b/>
                <w:color w:val="000000"/>
                <w:kern w:val="0"/>
                <w:szCs w:val="21"/>
              </w:rPr>
            </w:pPr>
          </w:p>
        </w:tc>
      </w:tr>
      <w:tr>
        <w:tblPrEx>
          <w:tblCellMar>
            <w:top w:w="0" w:type="dxa"/>
            <w:left w:w="108" w:type="dxa"/>
            <w:bottom w:w="0" w:type="dxa"/>
            <w:right w:w="108" w:type="dxa"/>
          </w:tblCellMar>
        </w:tblPrEx>
        <w:trPr>
          <w:trHeight w:val="848" w:hRule="atLeast"/>
        </w:trPr>
        <w:tc>
          <w:tcPr>
            <w:tcW w:w="1941" w:type="dxa"/>
            <w:gridSpan w:val="2"/>
            <w:tcBorders>
              <w:top w:val="single" w:color="auto" w:sz="4" w:space="0"/>
              <w:left w:val="single" w:color="auto" w:sz="4" w:space="0"/>
              <w:bottom w:val="single" w:color="auto" w:sz="4" w:space="0"/>
              <w:right w:val="single" w:color="auto" w:sz="4" w:space="0"/>
            </w:tcBorders>
            <w:vAlign w:val="center"/>
          </w:tcPr>
          <w:p>
            <w:pPr>
              <w:pStyle w:val="15"/>
              <w:numPr>
                <w:ilvl w:val="0"/>
                <w:numId w:val="0"/>
              </w:numPr>
              <w:tabs>
                <w:tab w:val="left" w:pos="0"/>
              </w:tabs>
              <w:spacing w:line="340" w:lineRule="exact"/>
              <w:jc w:val="center"/>
              <w:rPr>
                <w:rFonts w:cs="华文楷体"/>
                <w:color w:val="000000"/>
                <w:kern w:val="2"/>
              </w:rPr>
            </w:pPr>
            <w:r>
              <w:rPr>
                <w:rFonts w:hint="eastAsia" w:cs="华文楷体"/>
                <w:b/>
                <w:bCs/>
                <w:color w:val="000000"/>
                <w:sz w:val="24"/>
                <w:szCs w:val="24"/>
              </w:rPr>
              <w:t>合计（人民币）</w:t>
            </w:r>
          </w:p>
        </w:tc>
        <w:tc>
          <w:tcPr>
            <w:tcW w:w="7362"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华文楷体"/>
                <w:b/>
                <w:color w:val="000000"/>
                <w:kern w:val="0"/>
                <w:szCs w:val="21"/>
              </w:rPr>
            </w:pPr>
            <w:r>
              <w:rPr>
                <w:rFonts w:hint="eastAsia" w:ascii="宋体" w:hAnsi="宋体" w:cs="华文楷体"/>
                <w:b/>
                <w:color w:val="000000"/>
                <w:kern w:val="0"/>
                <w:sz w:val="24"/>
              </w:rPr>
              <w:t>小写：                 （大写：                           ）</w:t>
            </w:r>
          </w:p>
        </w:tc>
      </w:tr>
      <w:tr>
        <w:tblPrEx>
          <w:tblCellMar>
            <w:top w:w="0" w:type="dxa"/>
            <w:left w:w="108" w:type="dxa"/>
            <w:bottom w:w="0" w:type="dxa"/>
            <w:right w:w="108" w:type="dxa"/>
          </w:tblCellMar>
        </w:tblPrEx>
        <w:trPr>
          <w:trHeight w:val="673" w:hRule="atLeast"/>
        </w:trPr>
        <w:tc>
          <w:tcPr>
            <w:tcW w:w="1941" w:type="dxa"/>
            <w:gridSpan w:val="2"/>
            <w:tcBorders>
              <w:top w:val="single" w:color="auto" w:sz="4" w:space="0"/>
              <w:left w:val="single" w:color="auto" w:sz="4" w:space="0"/>
              <w:bottom w:val="single" w:color="auto" w:sz="4" w:space="0"/>
              <w:right w:val="single" w:color="auto" w:sz="4" w:space="0"/>
            </w:tcBorders>
            <w:vAlign w:val="center"/>
          </w:tcPr>
          <w:p>
            <w:pPr>
              <w:pStyle w:val="15"/>
              <w:numPr>
                <w:ilvl w:val="0"/>
                <w:numId w:val="0"/>
              </w:numPr>
              <w:tabs>
                <w:tab w:val="left" w:pos="0"/>
              </w:tabs>
              <w:spacing w:line="340" w:lineRule="exact"/>
              <w:jc w:val="center"/>
              <w:rPr>
                <w:rFonts w:cs="华文楷体"/>
                <w:b/>
                <w:bCs/>
                <w:color w:val="000000"/>
                <w:sz w:val="24"/>
                <w:szCs w:val="24"/>
              </w:rPr>
            </w:pPr>
            <w:r>
              <w:rPr>
                <w:rFonts w:hint="eastAsia" w:cs="华文楷体"/>
                <w:b/>
                <w:bCs/>
                <w:color w:val="000000"/>
                <w:sz w:val="24"/>
                <w:szCs w:val="24"/>
              </w:rPr>
              <w:t>质保期</w:t>
            </w:r>
          </w:p>
        </w:tc>
        <w:tc>
          <w:tcPr>
            <w:tcW w:w="7362"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华文楷体"/>
                <w:b/>
                <w:color w:val="000000"/>
                <w:kern w:val="0"/>
                <w:sz w:val="24"/>
              </w:rPr>
            </w:pPr>
          </w:p>
        </w:tc>
      </w:tr>
      <w:tr>
        <w:tblPrEx>
          <w:tblCellMar>
            <w:top w:w="0" w:type="dxa"/>
            <w:left w:w="108" w:type="dxa"/>
            <w:bottom w:w="0" w:type="dxa"/>
            <w:right w:w="108" w:type="dxa"/>
          </w:tblCellMar>
        </w:tblPrEx>
        <w:trPr>
          <w:trHeight w:val="758" w:hRule="atLeast"/>
        </w:trPr>
        <w:tc>
          <w:tcPr>
            <w:tcW w:w="1941" w:type="dxa"/>
            <w:gridSpan w:val="2"/>
            <w:tcBorders>
              <w:top w:val="single" w:color="auto" w:sz="4" w:space="0"/>
              <w:left w:val="single" w:color="auto" w:sz="4" w:space="0"/>
              <w:bottom w:val="single" w:color="auto" w:sz="4" w:space="0"/>
              <w:right w:val="single" w:color="auto" w:sz="4" w:space="0"/>
            </w:tcBorders>
            <w:vAlign w:val="center"/>
          </w:tcPr>
          <w:p>
            <w:pPr>
              <w:pStyle w:val="15"/>
              <w:numPr>
                <w:ilvl w:val="0"/>
                <w:numId w:val="0"/>
              </w:numPr>
              <w:tabs>
                <w:tab w:val="left" w:pos="0"/>
              </w:tabs>
              <w:spacing w:line="340" w:lineRule="exact"/>
              <w:jc w:val="center"/>
              <w:rPr>
                <w:rFonts w:cs="华文楷体"/>
                <w:b/>
                <w:bCs/>
                <w:color w:val="000000"/>
                <w:sz w:val="24"/>
                <w:szCs w:val="24"/>
              </w:rPr>
            </w:pPr>
            <w:r>
              <w:rPr>
                <w:rFonts w:hint="eastAsia" w:cs="华文楷体"/>
                <w:b/>
                <w:bCs/>
                <w:color w:val="000000"/>
                <w:sz w:val="24"/>
                <w:szCs w:val="24"/>
              </w:rPr>
              <w:t>供货安装期</w:t>
            </w:r>
          </w:p>
        </w:tc>
        <w:tc>
          <w:tcPr>
            <w:tcW w:w="7362"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华文楷体"/>
                <w:b/>
                <w:color w:val="000000"/>
                <w:kern w:val="0"/>
                <w:sz w:val="24"/>
              </w:rPr>
            </w:pPr>
            <w:r>
              <w:rPr>
                <w:rFonts w:hint="eastAsia" w:ascii="宋体" w:hAnsi="宋体" w:cs="华文楷体"/>
                <w:b/>
                <w:color w:val="000000"/>
                <w:kern w:val="0"/>
                <w:sz w:val="24"/>
              </w:rPr>
              <w:t>______日历天</w:t>
            </w:r>
          </w:p>
        </w:tc>
      </w:tr>
    </w:tbl>
    <w:p>
      <w:pPr>
        <w:spacing w:line="340" w:lineRule="exact"/>
        <w:rPr>
          <w:rFonts w:ascii="宋体" w:hAnsi="宋体" w:cs="华文楷体"/>
          <w:b/>
          <w:color w:val="000000"/>
          <w:sz w:val="24"/>
        </w:rPr>
      </w:pPr>
    </w:p>
    <w:p>
      <w:pPr>
        <w:spacing w:line="340" w:lineRule="exact"/>
        <w:rPr>
          <w:rFonts w:ascii="宋体" w:hAnsi="宋体" w:cs="华文楷体"/>
          <w:b/>
          <w:color w:val="000000"/>
          <w:sz w:val="24"/>
        </w:rPr>
      </w:pPr>
      <w:r>
        <w:rPr>
          <w:rFonts w:hint="eastAsia" w:ascii="宋体" w:hAnsi="宋体" w:cs="华文楷体"/>
          <w:b/>
          <w:color w:val="000000"/>
          <w:sz w:val="24"/>
        </w:rPr>
        <w:t>注：投标报价包含了设备运输、装卸、安装、调试、配合费、保质期内的服务、利润、税金和承担的风险等一切可能产生的费用。</w:t>
      </w:r>
    </w:p>
    <w:p>
      <w:pPr>
        <w:ind w:firstLine="480"/>
        <w:rPr>
          <w:rFonts w:ascii="宋体" w:hAnsi="宋体"/>
          <w:sz w:val="24"/>
        </w:rPr>
      </w:pPr>
    </w:p>
    <w:p>
      <w:pPr>
        <w:ind w:firstLine="480"/>
        <w:rPr>
          <w:rFonts w:ascii="宋体" w:hAnsi="宋体"/>
          <w:sz w:val="24"/>
        </w:rPr>
      </w:pPr>
    </w:p>
    <w:p>
      <w:pPr>
        <w:spacing w:line="340" w:lineRule="exact"/>
        <w:ind w:firstLine="480" w:firstLineChars="200"/>
        <w:rPr>
          <w:rFonts w:ascii="宋体" w:hAnsi="宋体" w:cs="华文楷体"/>
          <w:color w:val="000000"/>
          <w:sz w:val="24"/>
        </w:rPr>
      </w:pPr>
    </w:p>
    <w:p>
      <w:pPr>
        <w:spacing w:line="340" w:lineRule="exact"/>
        <w:ind w:firstLine="480" w:firstLineChars="200"/>
        <w:rPr>
          <w:rFonts w:ascii="宋体" w:hAnsi="宋体" w:cs="华文楷体"/>
          <w:color w:val="000000"/>
          <w:sz w:val="24"/>
          <w:u w:val="single"/>
        </w:rPr>
      </w:pPr>
      <w:r>
        <w:rPr>
          <w:rFonts w:hint="eastAsia" w:ascii="宋体" w:hAnsi="宋体" w:cs="华文楷体"/>
          <w:color w:val="000000"/>
          <w:sz w:val="24"/>
        </w:rPr>
        <w:t>投标人：</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u w:val="single"/>
        </w:rPr>
        <w:t xml:space="preserve">                  （公章）</w:t>
      </w:r>
    </w:p>
    <w:p>
      <w:pPr>
        <w:spacing w:line="340" w:lineRule="exact"/>
        <w:ind w:firstLine="480" w:firstLineChars="200"/>
        <w:rPr>
          <w:rFonts w:ascii="宋体" w:hAnsi="宋体" w:cs="华文楷体"/>
          <w:color w:val="000000"/>
          <w:sz w:val="24"/>
          <w:u w:val="single"/>
        </w:rPr>
      </w:pPr>
    </w:p>
    <w:p>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投标人代表签字：</w:t>
      </w:r>
    </w:p>
    <w:p>
      <w:pPr>
        <w:spacing w:line="340" w:lineRule="exact"/>
        <w:ind w:firstLine="4560" w:firstLineChars="1900"/>
        <w:rPr>
          <w:rFonts w:ascii="宋体" w:hAnsi="宋体" w:cs="华文楷体"/>
          <w:color w:val="000000"/>
          <w:sz w:val="24"/>
        </w:rPr>
      </w:pPr>
    </w:p>
    <w:p>
      <w:pPr>
        <w:spacing w:line="340" w:lineRule="exact"/>
        <w:ind w:firstLine="4560" w:firstLineChars="1900"/>
        <w:rPr>
          <w:rFonts w:ascii="宋体" w:hAnsi="宋体" w:cs="华文楷体"/>
          <w:color w:val="000000"/>
        </w:rPr>
      </w:pPr>
      <w:r>
        <w:rPr>
          <w:rFonts w:hint="eastAsia" w:ascii="宋体" w:hAnsi="宋体" w:cs="华文楷体"/>
          <w:color w:val="000000"/>
          <w:sz w:val="24"/>
        </w:rPr>
        <w:t>日期</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 xml:space="preserve">    年    月    日</w:t>
      </w:r>
    </w:p>
    <w:p>
      <w:pPr>
        <w:ind w:firstLine="480"/>
        <w:rPr>
          <w:rFonts w:ascii="宋体" w:hAnsi="宋体"/>
          <w:sz w:val="24"/>
        </w:rPr>
      </w:pPr>
    </w:p>
    <w:p>
      <w:pPr>
        <w:jc w:val="left"/>
        <w:rPr>
          <w:rFonts w:ascii="宋体" w:hAnsi="宋体"/>
          <w:b/>
          <w:bCs/>
          <w:kern w:val="0"/>
          <w:sz w:val="24"/>
        </w:rPr>
      </w:pPr>
      <w:r>
        <w:rPr>
          <w:rFonts w:ascii="宋体" w:hAnsi="宋体"/>
          <w:b/>
          <w:bCs/>
          <w:kern w:val="0"/>
          <w:sz w:val="24"/>
        </w:rPr>
        <w:br w:type="page"/>
      </w:r>
    </w:p>
    <w:p>
      <w:pPr>
        <w:jc w:val="left"/>
        <w:rPr>
          <w:rFonts w:ascii="宋体" w:hAnsi="宋体"/>
          <w:b/>
          <w:bCs/>
          <w:kern w:val="0"/>
          <w:sz w:val="24"/>
        </w:rPr>
      </w:pPr>
      <w:r>
        <w:rPr>
          <w:rFonts w:hint="eastAsia" w:ascii="宋体" w:hAnsi="宋体"/>
          <w:b/>
          <w:bCs/>
          <w:kern w:val="0"/>
          <w:sz w:val="24"/>
        </w:rPr>
        <w:t>(三)法定代表人授权委托书</w:t>
      </w:r>
      <w:bookmarkEnd w:id="3"/>
      <w:bookmarkEnd w:id="4"/>
      <w:bookmarkEnd w:id="5"/>
      <w:bookmarkEnd w:id="6"/>
      <w:bookmarkEnd w:id="7"/>
      <w:bookmarkEnd w:id="8"/>
    </w:p>
    <w:p>
      <w:pPr>
        <w:rPr>
          <w:rFonts w:ascii="宋体" w:hAnsi="宋体"/>
          <w:sz w:val="24"/>
        </w:rPr>
      </w:pPr>
      <w:r>
        <w:rPr>
          <w:rFonts w:hint="eastAsia" w:ascii="宋体" w:hAnsi="宋体"/>
          <w:sz w:val="24"/>
          <w:u w:val="single"/>
        </w:rPr>
        <w:t>江苏师范大学科文学院</w:t>
      </w:r>
      <w:r>
        <w:rPr>
          <w:rFonts w:hint="eastAsia" w:ascii="宋体" w:hAnsi="宋体"/>
          <w:sz w:val="24"/>
        </w:rPr>
        <w:t>：</w:t>
      </w:r>
    </w:p>
    <w:p>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pPr>
        <w:ind w:firstLine="480" w:firstLineChars="200"/>
        <w:rPr>
          <w:rFonts w:ascii="宋体" w:hAnsi="宋体"/>
          <w:sz w:val="24"/>
        </w:rPr>
      </w:pPr>
      <w:r>
        <w:rPr>
          <w:rFonts w:hint="eastAsia" w:ascii="宋体" w:hAnsi="宋体"/>
          <w:sz w:val="24"/>
        </w:rPr>
        <w:t>本授权书于    年  月  日签字生效，特此声明。</w:t>
      </w:r>
    </w:p>
    <w:p>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pPr>
        <w:ind w:firstLine="480" w:firstLineChars="200"/>
        <w:rPr>
          <w:rFonts w:ascii="宋体" w:hAnsi="宋体"/>
          <w:sz w:val="24"/>
        </w:rPr>
      </w:pPr>
    </w:p>
    <w:p>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v:textbox>
              </v:shape>
            </w:pict>
          </mc:Fallback>
        </mc:AlternateContent>
      </w:r>
    </w:p>
    <w:p>
      <w:pPr>
        <w:ind w:firstLine="6240" w:firstLineChars="2600"/>
        <w:rPr>
          <w:rFonts w:ascii="宋体" w:hAnsi="宋体"/>
          <w:sz w:val="24"/>
        </w:rPr>
      </w:pPr>
    </w:p>
    <w:p>
      <w:pPr>
        <w:ind w:firstLine="6240" w:firstLineChars="2600"/>
        <w:rPr>
          <w:rFonts w:ascii="宋体" w:hAnsi="宋体"/>
          <w:sz w:val="24"/>
        </w:rPr>
      </w:pPr>
    </w:p>
    <w:p>
      <w:pPr>
        <w:ind w:firstLine="6240" w:firstLineChars="2600"/>
        <w:rPr>
          <w:rFonts w:ascii="宋体" w:hAnsi="宋体"/>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v:textbox>
              </v:shape>
            </w:pict>
          </mc:Fallback>
        </mc:AlternateConten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bookmarkStart w:id="9" w:name="_Toc86202638"/>
      <w:r>
        <w:rPr>
          <w:rFonts w:hint="eastAsia" w:ascii="宋体" w:hAnsi="宋体"/>
          <w:b/>
          <w:sz w:val="24"/>
        </w:rPr>
        <w:t>（四）承诺书</w:t>
      </w:r>
    </w:p>
    <w:p>
      <w:pPr>
        <w:jc w:val="left"/>
        <w:rPr>
          <w:rFonts w:ascii="宋体" w:hAnsi="宋体"/>
          <w:sz w:val="24"/>
        </w:rPr>
      </w:pPr>
      <w:r>
        <w:rPr>
          <w:rFonts w:hint="eastAsia" w:ascii="宋体" w:hAnsi="宋体"/>
          <w:sz w:val="24"/>
        </w:rPr>
        <w:t>致江苏师范大学科文学院：</w:t>
      </w:r>
    </w:p>
    <w:p>
      <w:pPr>
        <w:jc w:val="left"/>
        <w:rPr>
          <w:rFonts w:ascii="宋体" w:hAnsi="宋体"/>
          <w:sz w:val="24"/>
        </w:rPr>
      </w:pPr>
    </w:p>
    <w:p>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pPr>
        <w:ind w:firstLine="480" w:firstLineChars="200"/>
        <w:jc w:val="left"/>
        <w:rPr>
          <w:rFonts w:ascii="宋体" w:hAnsi="宋体"/>
          <w:sz w:val="24"/>
        </w:rPr>
      </w:pPr>
      <w:r>
        <w:rPr>
          <w:rFonts w:hint="eastAsia" w:ascii="宋体" w:hAnsi="宋体"/>
          <w:sz w:val="24"/>
        </w:rPr>
        <w:t xml:space="preserve">我单位兹宣布同意如下: </w:t>
      </w:r>
    </w:p>
    <w:p>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cs="宋体"/>
          <w:b/>
          <w:sz w:val="36"/>
          <w:szCs w:val="36"/>
        </w:rPr>
      </w:pPr>
      <w:r>
        <w:rPr>
          <w:rFonts w:hint="eastAsia" w:ascii="宋体" w:hAnsi="宋体"/>
          <w:b/>
          <w:bCs/>
          <w:sz w:val="24"/>
        </w:rPr>
        <w:t>（五）</w:t>
      </w:r>
      <w:r>
        <w:rPr>
          <w:rFonts w:hint="eastAsia" w:ascii="宋体" w:hAnsi="宋体"/>
          <w:b/>
          <w:sz w:val="24"/>
        </w:rPr>
        <w:t>具备履行合同所必需的设备和专业技术能力的书面声明。</w:t>
      </w:r>
    </w:p>
    <w:p>
      <w:pPr>
        <w:ind w:firstLine="480" w:firstLineChars="200"/>
        <w:rPr>
          <w:rFonts w:ascii="宋体" w:hAnsi="宋体" w:cs="宋体"/>
          <w:sz w:val="24"/>
        </w:rPr>
      </w:pPr>
      <w:r>
        <w:rPr>
          <w:rFonts w:hint="eastAsia" w:ascii="宋体" w:hAnsi="宋体" w:cs="宋体"/>
          <w:sz w:val="24"/>
        </w:rPr>
        <w:t>我公司郑重声明：</w:t>
      </w:r>
    </w:p>
    <w:p>
      <w:pPr>
        <w:ind w:firstLine="480" w:firstLineChars="200"/>
        <w:rPr>
          <w:rFonts w:ascii="宋体" w:hAnsi="宋体" w:cs="宋体"/>
          <w:sz w:val="24"/>
        </w:rPr>
      </w:pPr>
      <w:r>
        <w:rPr>
          <w:rFonts w:hint="eastAsia" w:ascii="宋体" w:hAnsi="宋体" w:cs="宋体"/>
          <w:sz w:val="24"/>
        </w:rPr>
        <w:t>我公司具备履行本项合同所必需的设备和专业技术能力，为履行本项合同我公司已具备如下主要设备和主要专业技术能力：</w:t>
      </w:r>
    </w:p>
    <w:p>
      <w:pPr>
        <w:ind w:firstLine="480" w:firstLineChars="200"/>
        <w:rPr>
          <w:rFonts w:ascii="宋体" w:hAnsi="宋体" w:cs="宋体"/>
          <w:sz w:val="24"/>
        </w:rPr>
      </w:pPr>
    </w:p>
    <w:p>
      <w:pPr>
        <w:ind w:firstLine="480" w:firstLineChars="200"/>
        <w:rPr>
          <w:rFonts w:ascii="宋体" w:hAnsi="宋体" w:cs="宋体"/>
          <w:sz w:val="24"/>
          <w:u w:val="single"/>
        </w:rPr>
      </w:pPr>
      <w:r>
        <w:rPr>
          <w:rFonts w:hint="eastAsia" w:ascii="宋体" w:hAnsi="宋体" w:cs="宋体"/>
          <w:sz w:val="24"/>
        </w:rPr>
        <w:t>主要设备有：</w:t>
      </w:r>
      <w:r>
        <w:rPr>
          <w:rFonts w:hint="eastAsia" w:ascii="宋体" w:hAnsi="宋体" w:cs="宋体"/>
          <w:sz w:val="24"/>
          <w:u w:val="single"/>
        </w:rPr>
        <w:t xml:space="preserve">                          </w:t>
      </w:r>
      <w:r>
        <w:rPr>
          <w:rFonts w:hint="eastAsia" w:ascii="宋体" w:hAnsi="宋体" w:cs="宋体"/>
          <w:sz w:val="24"/>
        </w:rPr>
        <w:t>。</w:t>
      </w:r>
    </w:p>
    <w:p>
      <w:pPr>
        <w:ind w:firstLine="480" w:firstLineChars="200"/>
        <w:rPr>
          <w:rFonts w:ascii="宋体" w:hAnsi="宋体" w:cs="宋体"/>
          <w:sz w:val="24"/>
          <w:u w:val="single"/>
        </w:rPr>
      </w:pPr>
    </w:p>
    <w:p>
      <w:pPr>
        <w:ind w:firstLine="480" w:firstLineChars="200"/>
        <w:rPr>
          <w:rFonts w:ascii="宋体" w:hAnsi="宋体" w:cs="宋体"/>
          <w:sz w:val="24"/>
        </w:rPr>
      </w:pPr>
      <w:r>
        <w:rPr>
          <w:rFonts w:hint="eastAsia" w:ascii="宋体" w:hAnsi="宋体" w:cs="宋体"/>
          <w:sz w:val="24"/>
        </w:rPr>
        <w:t>主要专业技术能力有：</w:t>
      </w:r>
      <w:r>
        <w:rPr>
          <w:rFonts w:hint="eastAsia" w:ascii="宋体" w:hAnsi="宋体" w:cs="宋体"/>
          <w:sz w:val="24"/>
          <w:u w:val="single"/>
        </w:rPr>
        <w:t xml:space="preserve">                  </w:t>
      </w:r>
      <w:r>
        <w:rPr>
          <w:rFonts w:hint="eastAsia" w:ascii="宋体" w:hAnsi="宋体" w:cs="宋体"/>
          <w:sz w:val="24"/>
        </w:rPr>
        <w:t>。</w:t>
      </w:r>
    </w:p>
    <w:p>
      <w:pPr>
        <w:ind w:firstLine="480" w:firstLineChars="200"/>
        <w:rPr>
          <w:rFonts w:ascii="宋体" w:hAnsi="宋体" w:cs="宋体"/>
          <w:sz w:val="24"/>
          <w:u w:val="single"/>
        </w:rPr>
      </w:pPr>
    </w:p>
    <w:p>
      <w:pPr>
        <w:jc w:val="right"/>
        <w:rPr>
          <w:rFonts w:ascii="宋体" w:hAnsi="宋体" w:cs="宋体"/>
          <w:sz w:val="24"/>
        </w:rPr>
      </w:pPr>
      <w:r>
        <w:rPr>
          <w:rFonts w:hint="eastAsia" w:ascii="宋体" w:hAnsi="宋体" w:cs="宋体"/>
          <w:sz w:val="24"/>
        </w:rPr>
        <w:t xml:space="preserve"> </w:t>
      </w:r>
    </w:p>
    <w:p>
      <w:pPr>
        <w:jc w:val="right"/>
        <w:rPr>
          <w:rFonts w:ascii="宋体" w:hAnsi="宋体" w:cs="宋体"/>
          <w:sz w:val="24"/>
        </w:rPr>
      </w:pPr>
      <w:r>
        <w:rPr>
          <w:rFonts w:hint="eastAsia" w:ascii="宋体" w:hAnsi="宋体" w:cs="宋体"/>
          <w:sz w:val="24"/>
        </w:rPr>
        <w:t xml:space="preserve">投标人（公章）： </w:t>
      </w:r>
    </w:p>
    <w:p>
      <w:pPr>
        <w:jc w:val="right"/>
        <w:rPr>
          <w:rFonts w:ascii="宋体" w:hAnsi="宋体"/>
          <w:b/>
          <w:sz w:val="24"/>
        </w:rPr>
      </w:pPr>
      <w:r>
        <w:rPr>
          <w:rFonts w:hint="eastAsia" w:ascii="宋体" w:hAnsi="宋体" w:cs="宋体"/>
          <w:sz w:val="24"/>
        </w:rPr>
        <w:t>日期：______年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b/>
          <w:sz w:val="24"/>
        </w:rPr>
      </w:pPr>
      <w:r>
        <w:rPr>
          <w:rFonts w:hint="eastAsia" w:ascii="宋体" w:hAnsi="宋体"/>
          <w:b/>
          <w:sz w:val="24"/>
        </w:rPr>
        <w:t>（六）无重大违法记录的书面声明</w:t>
      </w:r>
    </w:p>
    <w:p>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rPr>
          <w:rFonts w:ascii="宋体" w:hAnsi="宋体"/>
          <w:b/>
          <w:bCs/>
          <w:kern w:val="0"/>
          <w:sz w:val="24"/>
        </w:rPr>
      </w:pPr>
      <w:r>
        <w:rPr>
          <w:rFonts w:hint="eastAsia" w:ascii="宋体" w:hAnsi="宋体"/>
          <w:b/>
          <w:sz w:val="24"/>
        </w:rPr>
        <w:t>（七）</w:t>
      </w:r>
      <w:r>
        <w:rPr>
          <w:rFonts w:hint="eastAsia" w:ascii="宋体" w:hAnsi="宋体"/>
          <w:b/>
          <w:bCs/>
          <w:kern w:val="0"/>
          <w:sz w:val="24"/>
        </w:rPr>
        <w:t>商务与技术条款偏离表</w:t>
      </w:r>
    </w:p>
    <w:p>
      <w:pPr>
        <w:ind w:left="472" w:hanging="472" w:hangingChars="196"/>
        <w:rPr>
          <w:rFonts w:ascii="宋体" w:hAnsi="宋体"/>
          <w:b/>
          <w:sz w:val="24"/>
        </w:rPr>
      </w:pPr>
      <w:r>
        <w:rPr>
          <w:rFonts w:hint="eastAsia" w:ascii="宋体" w:hAnsi="宋体"/>
          <w:b/>
          <w:sz w:val="24"/>
        </w:rPr>
        <w:t xml:space="preserve">  </w:t>
      </w:r>
    </w:p>
    <w:tbl>
      <w:tblPr>
        <w:tblStyle w:val="10"/>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pPr>
        <w:pStyle w:val="9"/>
        <w:spacing w:after="0"/>
        <w:ind w:firstLine="0" w:firstLineChars="0"/>
        <w:rPr>
          <w:rFonts w:ascii="宋体" w:hAnsi="宋体" w:eastAsia="宋体"/>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投标人：</w:t>
      </w:r>
      <w:r>
        <w:rPr>
          <w:rFonts w:ascii="宋体" w:hAnsi="宋体" w:eastAsia="宋体" w:cs="宋体"/>
          <w:color w:val="000000"/>
          <w:kern w:val="0"/>
          <w:sz w:val="24"/>
          <w:szCs w:val="24"/>
          <w:u w:val="single"/>
        </w:rPr>
        <w:t xml:space="preserve">   </w:t>
      </w:r>
      <w:r>
        <w:rPr>
          <w:rFonts w:ascii="宋体" w:hAnsi="宋体" w:eastAsia="宋体" w:cs="宋体"/>
          <w:color w:val="000000"/>
          <w:spacing w:val="14"/>
          <w:kern w:val="0"/>
          <w:sz w:val="24"/>
          <w:szCs w:val="24"/>
          <w:u w:val="single"/>
        </w:rPr>
        <w:t xml:space="preserve">（单位全称） （盖章）   </w:t>
      </w:r>
      <w:r>
        <w:rPr>
          <w:rFonts w:ascii="宋体" w:hAnsi="宋体" w:eastAsia="宋体" w:cs="宋体"/>
          <w:color w:val="000000"/>
          <w:sz w:val="24"/>
          <w:szCs w:val="24"/>
        </w:rPr>
        <w:t xml:space="preserve"> </w:t>
      </w:r>
    </w:p>
    <w:p>
      <w:pPr>
        <w:pStyle w:val="9"/>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pPr>
        <w:rPr>
          <w:rFonts w:ascii="宋体" w:hAnsi="宋体"/>
          <w:b/>
          <w:sz w:val="24"/>
        </w:rPr>
      </w:pPr>
      <w:r>
        <w:rPr>
          <w:rFonts w:hint="eastAsia" w:ascii="宋体" w:hAnsi="宋体"/>
          <w:sz w:val="24"/>
        </w:rPr>
        <w:t>日期：</w:t>
      </w:r>
      <w:r>
        <w:rPr>
          <w:rFonts w:hint="eastAsia" w:ascii="宋体" w:hAnsi="宋体"/>
          <w:sz w:val="24"/>
          <w:u w:val="single"/>
        </w:rPr>
        <w:t xml:space="preserve">          </w:t>
      </w:r>
    </w:p>
    <w:p>
      <w:pPr>
        <w:pStyle w:val="9"/>
        <w:spacing w:after="0"/>
        <w:ind w:firstLine="0" w:firstLineChars="0"/>
        <w:rPr>
          <w:rFonts w:ascii="宋体" w:hAnsi="宋体" w:eastAsia="宋体"/>
          <w:b/>
          <w:sz w:val="24"/>
          <w:szCs w:val="24"/>
        </w:rPr>
      </w:pPr>
    </w:p>
    <w:p>
      <w:pPr>
        <w:pStyle w:val="9"/>
        <w:spacing w:after="0"/>
        <w:ind w:firstLine="0" w:firstLineChars="0"/>
        <w:rPr>
          <w:rFonts w:ascii="宋体" w:hAnsi="宋体" w:eastAsia="宋体"/>
          <w:b/>
          <w:sz w:val="24"/>
          <w:szCs w:val="24"/>
        </w:rPr>
      </w:pPr>
    </w:p>
    <w:p>
      <w:pPr>
        <w:pStyle w:val="9"/>
        <w:spacing w:after="0"/>
        <w:ind w:firstLine="0" w:firstLineChars="0"/>
        <w:rPr>
          <w:rFonts w:ascii="宋体" w:hAnsi="宋体" w:eastAsia="宋体"/>
          <w:b/>
          <w:sz w:val="24"/>
          <w:szCs w:val="24"/>
        </w:rPr>
      </w:pPr>
    </w:p>
    <w:p>
      <w:pPr>
        <w:pStyle w:val="9"/>
        <w:spacing w:after="0"/>
        <w:ind w:firstLine="0" w:firstLineChars="0"/>
        <w:rPr>
          <w:rFonts w:ascii="宋体" w:hAnsi="宋体" w:eastAsia="宋体"/>
          <w:b/>
          <w:sz w:val="24"/>
          <w:szCs w:val="24"/>
        </w:rPr>
      </w:pPr>
      <w:r>
        <w:rPr>
          <w:rFonts w:hint="eastAsia" w:ascii="宋体" w:hAnsi="宋体" w:eastAsia="宋体"/>
          <w:b/>
          <w:sz w:val="24"/>
          <w:szCs w:val="24"/>
        </w:rPr>
        <w:t>（八）</w:t>
      </w:r>
      <w:bookmarkEnd w:id="9"/>
      <w:bookmarkStart w:id="10" w:name="_Toc86202650"/>
      <w:r>
        <w:rPr>
          <w:rFonts w:hint="eastAsia" w:ascii="宋体" w:hAnsi="宋体" w:eastAsia="宋体"/>
          <w:b/>
          <w:sz w:val="24"/>
          <w:szCs w:val="24"/>
        </w:rPr>
        <w:t>业绩一览表</w:t>
      </w:r>
    </w:p>
    <w:tbl>
      <w:tblPr>
        <w:tblStyle w:val="10"/>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5"/>
        <w:gridCol w:w="1832"/>
        <w:gridCol w:w="1984"/>
        <w:gridCol w:w="2499"/>
        <w:gridCol w:w="155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起止时间</w:t>
            </w:r>
          </w:p>
        </w:tc>
        <w:tc>
          <w:tcPr>
            <w:tcW w:w="1832" w:type="dxa"/>
            <w:tcBorders>
              <w:top w:val="single" w:color="000000" w:sz="4" w:space="0"/>
              <w:bottom w:val="single" w:color="000000" w:sz="4" w:space="0"/>
            </w:tcBorders>
          </w:tcPr>
          <w:p>
            <w:pPr>
              <w:rPr>
                <w:rFonts w:ascii="宋体" w:hAnsi="宋体"/>
                <w:sz w:val="24"/>
              </w:rPr>
            </w:pPr>
            <w:r>
              <w:rPr>
                <w:rFonts w:hint="eastAsia" w:ascii="宋体" w:hAnsi="宋体"/>
                <w:sz w:val="24"/>
              </w:rPr>
              <w:t>项目名称</w:t>
            </w:r>
          </w:p>
        </w:tc>
        <w:tc>
          <w:tcPr>
            <w:tcW w:w="1984"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采购单位</w:t>
            </w:r>
          </w:p>
        </w:tc>
        <w:tc>
          <w:tcPr>
            <w:tcW w:w="2499" w:type="dxa"/>
            <w:tcBorders>
              <w:top w:val="single" w:color="000000" w:sz="4" w:space="0"/>
              <w:bottom w:val="single" w:color="000000" w:sz="4" w:space="0"/>
            </w:tcBorders>
          </w:tcPr>
          <w:p>
            <w:pPr>
              <w:rPr>
                <w:rFonts w:ascii="宋体" w:hAnsi="宋体"/>
                <w:sz w:val="24"/>
              </w:rPr>
            </w:pPr>
            <w:r>
              <w:rPr>
                <w:rFonts w:hint="eastAsia" w:ascii="宋体" w:hAnsi="宋体"/>
                <w:sz w:val="24"/>
              </w:rPr>
              <w:t>采购单位联系人及电话</w:t>
            </w:r>
          </w:p>
        </w:tc>
        <w:tc>
          <w:tcPr>
            <w:tcW w:w="1559"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中标额</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tcPr>
          <w:p>
            <w:pPr>
              <w:rPr>
                <w:rFonts w:ascii="宋体" w:hAnsi="宋体"/>
                <w:sz w:val="24"/>
              </w:rPr>
            </w:pPr>
            <w:r>
              <w:rPr>
                <w:rFonts w:ascii="宋体" w:hAnsi="宋体" w:cs="Calibri"/>
                <w:sz w:val="24"/>
              </w:rPr>
              <w:t> </w:t>
            </w:r>
          </w:p>
        </w:tc>
        <w:tc>
          <w:tcPr>
            <w:tcW w:w="1832" w:type="dxa"/>
          </w:tcPr>
          <w:p>
            <w:pPr>
              <w:rPr>
                <w:rFonts w:ascii="宋体" w:hAnsi="宋体"/>
                <w:sz w:val="24"/>
              </w:rPr>
            </w:pPr>
            <w:r>
              <w:rPr>
                <w:rFonts w:ascii="宋体" w:hAnsi="宋体" w:cs="Calibri"/>
                <w:sz w:val="24"/>
              </w:rPr>
              <w:t> </w:t>
            </w:r>
          </w:p>
        </w:tc>
        <w:tc>
          <w:tcPr>
            <w:tcW w:w="1984" w:type="dxa"/>
            <w:tcBorders>
              <w:left w:val="single" w:color="000000" w:sz="4" w:space="0"/>
              <w:right w:val="single" w:color="000000" w:sz="4" w:space="0"/>
            </w:tcBorders>
          </w:tcPr>
          <w:p>
            <w:pPr>
              <w:rPr>
                <w:rFonts w:ascii="宋体" w:hAnsi="宋体"/>
                <w:sz w:val="24"/>
              </w:rPr>
            </w:pPr>
            <w:r>
              <w:rPr>
                <w:rFonts w:ascii="宋体" w:hAnsi="宋体" w:cs="Calibri"/>
                <w:sz w:val="24"/>
              </w:rPr>
              <w:t> </w:t>
            </w:r>
          </w:p>
        </w:tc>
        <w:tc>
          <w:tcPr>
            <w:tcW w:w="2499" w:type="dxa"/>
          </w:tcPr>
          <w:p>
            <w:pPr>
              <w:rPr>
                <w:rFonts w:ascii="宋体" w:hAnsi="宋体"/>
                <w:sz w:val="24"/>
              </w:rPr>
            </w:pPr>
            <w:r>
              <w:rPr>
                <w:rFonts w:ascii="宋体" w:hAnsi="宋体" w:cs="Calibri"/>
                <w:sz w:val="24"/>
              </w:rPr>
              <w:t> </w:t>
            </w:r>
          </w:p>
        </w:tc>
        <w:tc>
          <w:tcPr>
            <w:tcW w:w="1559" w:type="dxa"/>
            <w:tcBorders>
              <w:left w:val="single" w:color="000000" w:sz="4" w:space="0"/>
              <w:right w:val="single" w:color="000000" w:sz="4" w:space="0"/>
            </w:tcBorders>
          </w:tcPr>
          <w:p>
            <w:pPr>
              <w:rPr>
                <w:rFonts w:ascii="宋体" w:hAnsi="宋体"/>
                <w:sz w:val="24"/>
              </w:rPr>
            </w:pPr>
            <w:r>
              <w:rPr>
                <w:rFonts w:ascii="宋体" w:hAnsi="宋体" w:cs="Calibri"/>
                <w:sz w:val="24"/>
              </w:rPr>
              <w:t>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ascii="宋体" w:hAnsi="宋体" w:cs="Calibri"/>
                <w:sz w:val="24"/>
              </w:rPr>
              <w:t> </w:t>
            </w:r>
          </w:p>
        </w:tc>
        <w:tc>
          <w:tcPr>
            <w:tcW w:w="1832" w:type="dxa"/>
            <w:tcBorders>
              <w:top w:val="single" w:color="000000" w:sz="4" w:space="0"/>
              <w:bottom w:val="single" w:color="000000" w:sz="4" w:space="0"/>
            </w:tcBorders>
          </w:tcPr>
          <w:p>
            <w:pPr>
              <w:rPr>
                <w:rFonts w:ascii="宋体" w:hAnsi="宋体"/>
                <w:sz w:val="24"/>
              </w:rPr>
            </w:pPr>
            <w:r>
              <w:rPr>
                <w:rFonts w:ascii="宋体" w:hAnsi="宋体" w:cs="Calibri"/>
                <w:sz w:val="24"/>
              </w:rPr>
              <w:t> </w:t>
            </w:r>
          </w:p>
        </w:tc>
        <w:tc>
          <w:tcPr>
            <w:tcW w:w="1984"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ascii="宋体" w:hAnsi="宋体" w:cs="Calibri"/>
                <w:sz w:val="24"/>
              </w:rPr>
              <w:t> </w:t>
            </w:r>
          </w:p>
        </w:tc>
        <w:tc>
          <w:tcPr>
            <w:tcW w:w="2499" w:type="dxa"/>
            <w:tcBorders>
              <w:top w:val="single" w:color="000000" w:sz="4" w:space="0"/>
              <w:bottom w:val="single" w:color="000000" w:sz="4" w:space="0"/>
            </w:tcBorders>
          </w:tcPr>
          <w:p>
            <w:pPr>
              <w:rPr>
                <w:rFonts w:ascii="宋体" w:hAnsi="宋体"/>
                <w:sz w:val="24"/>
              </w:rPr>
            </w:pPr>
            <w:r>
              <w:rPr>
                <w:rFonts w:ascii="宋体" w:hAnsi="宋体" w:cs="Calibri"/>
                <w:sz w:val="24"/>
              </w:rPr>
              <w:t> </w:t>
            </w:r>
          </w:p>
        </w:tc>
        <w:tc>
          <w:tcPr>
            <w:tcW w:w="1559"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ascii="宋体" w:hAnsi="宋体" w:cs="Calibri"/>
                <w:sz w:val="24"/>
              </w:rPr>
              <w:t>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tcPr>
          <w:p>
            <w:pPr>
              <w:rPr>
                <w:rFonts w:ascii="宋体" w:hAnsi="宋体"/>
                <w:sz w:val="24"/>
              </w:rPr>
            </w:pPr>
          </w:p>
        </w:tc>
        <w:tc>
          <w:tcPr>
            <w:tcW w:w="1832" w:type="dxa"/>
          </w:tcPr>
          <w:p>
            <w:pPr>
              <w:rPr>
                <w:rFonts w:ascii="宋体" w:hAnsi="宋体"/>
                <w:sz w:val="24"/>
              </w:rPr>
            </w:pPr>
          </w:p>
        </w:tc>
        <w:tc>
          <w:tcPr>
            <w:tcW w:w="1984" w:type="dxa"/>
            <w:tcBorders>
              <w:left w:val="single" w:color="000000" w:sz="4" w:space="0"/>
              <w:right w:val="single" w:color="000000" w:sz="4" w:space="0"/>
            </w:tcBorders>
          </w:tcPr>
          <w:p>
            <w:pPr>
              <w:rPr>
                <w:rFonts w:ascii="宋体" w:hAnsi="宋体"/>
                <w:sz w:val="24"/>
              </w:rPr>
            </w:pPr>
          </w:p>
        </w:tc>
        <w:tc>
          <w:tcPr>
            <w:tcW w:w="2499" w:type="dxa"/>
          </w:tcPr>
          <w:p>
            <w:pPr>
              <w:rPr>
                <w:rFonts w:ascii="宋体" w:hAnsi="宋体"/>
                <w:sz w:val="24"/>
              </w:rPr>
            </w:pPr>
          </w:p>
        </w:tc>
        <w:tc>
          <w:tcPr>
            <w:tcW w:w="1559" w:type="dxa"/>
            <w:tcBorders>
              <w:left w:val="single" w:color="000000" w:sz="4" w:space="0"/>
              <w:right w:val="single" w:color="000000" w:sz="4" w:space="0"/>
            </w:tcBorders>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p>
        </w:tc>
        <w:tc>
          <w:tcPr>
            <w:tcW w:w="1832" w:type="dxa"/>
            <w:tcBorders>
              <w:top w:val="single" w:color="000000" w:sz="4" w:space="0"/>
              <w:bottom w:val="single" w:color="000000" w:sz="4" w:space="0"/>
            </w:tcBorders>
          </w:tcPr>
          <w:p>
            <w:pPr>
              <w:rPr>
                <w:rFonts w:ascii="宋体" w:hAnsi="宋体"/>
                <w:sz w:val="24"/>
              </w:rPr>
            </w:pPr>
          </w:p>
        </w:tc>
        <w:tc>
          <w:tcPr>
            <w:tcW w:w="1984"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p>
        </w:tc>
        <w:tc>
          <w:tcPr>
            <w:tcW w:w="2499" w:type="dxa"/>
            <w:tcBorders>
              <w:top w:val="single" w:color="000000" w:sz="4" w:space="0"/>
              <w:bottom w:val="single" w:color="000000" w:sz="4" w:space="0"/>
            </w:tcBorders>
          </w:tcPr>
          <w:p>
            <w:pPr>
              <w:rPr>
                <w:rFonts w:ascii="宋体" w:hAnsi="宋体"/>
                <w:sz w:val="24"/>
              </w:rPr>
            </w:pPr>
          </w:p>
        </w:tc>
        <w:tc>
          <w:tcPr>
            <w:tcW w:w="1559"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tcPr>
          <w:p>
            <w:pPr>
              <w:rPr>
                <w:rFonts w:ascii="宋体" w:hAnsi="宋体"/>
                <w:sz w:val="24"/>
              </w:rPr>
            </w:pPr>
          </w:p>
        </w:tc>
        <w:tc>
          <w:tcPr>
            <w:tcW w:w="1832" w:type="dxa"/>
          </w:tcPr>
          <w:p>
            <w:pPr>
              <w:rPr>
                <w:rFonts w:ascii="宋体" w:hAnsi="宋体"/>
                <w:sz w:val="24"/>
              </w:rPr>
            </w:pPr>
          </w:p>
        </w:tc>
        <w:tc>
          <w:tcPr>
            <w:tcW w:w="1984" w:type="dxa"/>
            <w:tcBorders>
              <w:left w:val="single" w:color="000000" w:sz="4" w:space="0"/>
              <w:right w:val="single" w:color="000000" w:sz="4" w:space="0"/>
            </w:tcBorders>
          </w:tcPr>
          <w:p>
            <w:pPr>
              <w:rPr>
                <w:rFonts w:ascii="宋体" w:hAnsi="宋体"/>
                <w:sz w:val="24"/>
              </w:rPr>
            </w:pPr>
          </w:p>
        </w:tc>
        <w:tc>
          <w:tcPr>
            <w:tcW w:w="2499" w:type="dxa"/>
          </w:tcPr>
          <w:p>
            <w:pPr>
              <w:rPr>
                <w:rFonts w:ascii="宋体" w:hAnsi="宋体"/>
                <w:sz w:val="24"/>
              </w:rPr>
            </w:pPr>
          </w:p>
        </w:tc>
        <w:tc>
          <w:tcPr>
            <w:tcW w:w="1559" w:type="dxa"/>
            <w:tcBorders>
              <w:left w:val="single" w:color="000000" w:sz="4" w:space="0"/>
              <w:right w:val="single" w:color="000000" w:sz="4" w:space="0"/>
            </w:tcBorders>
          </w:tcPr>
          <w:p>
            <w:pPr>
              <w:rPr>
                <w:rFonts w:ascii="宋体" w:hAnsi="宋体"/>
                <w:sz w:val="24"/>
              </w:rPr>
            </w:pPr>
          </w:p>
        </w:tc>
      </w:tr>
    </w:tbl>
    <w:p>
      <w:pPr>
        <w:pStyle w:val="9"/>
        <w:spacing w:after="0"/>
        <w:ind w:firstLine="0" w:firstLineChars="0"/>
        <w:rPr>
          <w:rFonts w:ascii="宋体" w:hAnsi="宋体" w:eastAsia="宋体"/>
          <w:sz w:val="24"/>
          <w:szCs w:val="24"/>
          <w:u w:val="single"/>
        </w:rPr>
      </w:pPr>
    </w:p>
    <w:p>
      <w:pPr>
        <w:pStyle w:val="15"/>
        <w:numPr>
          <w:ilvl w:val="0"/>
          <w:numId w:val="0"/>
        </w:numPr>
        <w:adjustRightInd/>
        <w:jc w:val="left"/>
        <w:rPr>
          <w:b/>
          <w:bCs/>
          <w:kern w:val="2"/>
          <w:sz w:val="24"/>
          <w:szCs w:val="24"/>
        </w:rPr>
      </w:pPr>
      <w:r>
        <w:rPr>
          <w:rFonts w:hint="eastAsia"/>
          <w:b/>
          <w:bCs/>
          <w:kern w:val="2"/>
          <w:sz w:val="24"/>
          <w:szCs w:val="24"/>
        </w:rPr>
        <w:t>（九）设备（系统）清单</w:t>
      </w:r>
    </w:p>
    <w:p>
      <w:pPr>
        <w:pStyle w:val="15"/>
        <w:numPr>
          <w:ilvl w:val="0"/>
          <w:numId w:val="0"/>
        </w:numPr>
        <w:adjustRightInd/>
        <w:jc w:val="left"/>
        <w:rPr>
          <w:kern w:val="2"/>
          <w:sz w:val="24"/>
          <w:szCs w:val="24"/>
        </w:rPr>
      </w:pPr>
      <w:r>
        <w:rPr>
          <w:rFonts w:hint="eastAsia"/>
          <w:kern w:val="2"/>
          <w:sz w:val="24"/>
          <w:szCs w:val="24"/>
        </w:rPr>
        <w:t>（名称、技术参数、数量、功能、质保年限等技术性能详细说明）；</w:t>
      </w:r>
    </w:p>
    <w:p>
      <w:pPr>
        <w:pStyle w:val="15"/>
        <w:numPr>
          <w:ilvl w:val="0"/>
          <w:numId w:val="0"/>
        </w:numPr>
        <w:adjustRightInd/>
        <w:jc w:val="left"/>
        <w:rPr>
          <w:b/>
          <w:bCs/>
          <w:kern w:val="2"/>
          <w:sz w:val="24"/>
          <w:szCs w:val="24"/>
        </w:rPr>
      </w:pPr>
      <w:r>
        <w:rPr>
          <w:rFonts w:hint="eastAsia"/>
          <w:b/>
          <w:bCs/>
          <w:kern w:val="2"/>
          <w:sz w:val="24"/>
          <w:szCs w:val="24"/>
        </w:rPr>
        <w:t>（十）实施方案</w:t>
      </w:r>
    </w:p>
    <w:p>
      <w:pPr>
        <w:pStyle w:val="15"/>
        <w:numPr>
          <w:ilvl w:val="0"/>
          <w:numId w:val="0"/>
        </w:numPr>
        <w:adjustRightInd/>
        <w:jc w:val="left"/>
        <w:rPr>
          <w:kern w:val="2"/>
          <w:sz w:val="24"/>
          <w:szCs w:val="24"/>
        </w:rPr>
      </w:pPr>
      <w:r>
        <w:rPr>
          <w:rFonts w:hint="eastAsia"/>
          <w:kern w:val="2"/>
          <w:sz w:val="24"/>
          <w:szCs w:val="24"/>
        </w:rPr>
        <w:t>（设备（系统）的供货与安装调试、质量和安全保障措施等）；</w:t>
      </w:r>
    </w:p>
    <w:p>
      <w:pPr>
        <w:pStyle w:val="15"/>
        <w:numPr>
          <w:ilvl w:val="0"/>
          <w:numId w:val="0"/>
        </w:numPr>
        <w:adjustRightInd/>
        <w:jc w:val="left"/>
        <w:rPr>
          <w:b/>
          <w:bCs/>
          <w:kern w:val="2"/>
          <w:sz w:val="24"/>
          <w:szCs w:val="24"/>
        </w:rPr>
      </w:pPr>
      <w:r>
        <w:rPr>
          <w:rFonts w:hint="eastAsia"/>
          <w:b/>
          <w:bCs/>
          <w:kern w:val="2"/>
          <w:sz w:val="24"/>
          <w:szCs w:val="24"/>
        </w:rPr>
        <w:t>（十一）服务支持与售后</w:t>
      </w:r>
    </w:p>
    <w:p>
      <w:pPr>
        <w:pStyle w:val="9"/>
        <w:spacing w:after="0"/>
        <w:ind w:firstLine="0" w:firstLineChars="0"/>
        <w:rPr>
          <w:rFonts w:ascii="宋体" w:hAnsi="宋体" w:eastAsia="宋体"/>
          <w:sz w:val="24"/>
          <w:szCs w:val="24"/>
        </w:rPr>
      </w:pPr>
      <w:r>
        <w:rPr>
          <w:rFonts w:hint="eastAsia" w:ascii="宋体" w:hAnsi="宋体" w:eastAsia="宋体"/>
          <w:sz w:val="24"/>
          <w:szCs w:val="24"/>
        </w:rPr>
        <w:t>（项目负责人及人员配置、应急响应预案、售后维保方案、培训方案等）；</w:t>
      </w:r>
    </w:p>
    <w:p>
      <w:pPr>
        <w:pStyle w:val="9"/>
        <w:spacing w:after="0"/>
        <w:ind w:firstLine="0" w:firstLineChars="0"/>
        <w:rPr>
          <w:rFonts w:ascii="宋体" w:hAnsi="宋体" w:eastAsia="宋体"/>
          <w:b/>
          <w:sz w:val="24"/>
          <w:szCs w:val="24"/>
        </w:rPr>
      </w:pPr>
      <w:r>
        <w:rPr>
          <w:rFonts w:hint="eastAsia" w:ascii="宋体" w:hAnsi="宋体" w:eastAsia="宋体"/>
          <w:b/>
          <w:sz w:val="24"/>
          <w:szCs w:val="24"/>
        </w:rPr>
        <w:t>（十二）资格审查符合性审查材料索引表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ind w:firstLine="480" w:firstLineChars="200"/>
              <w:jc w:val="center"/>
              <w:rPr>
                <w:rFonts w:ascii="宋体" w:hAnsi="宋体" w:cs="楷体"/>
                <w:bCs/>
                <w:sz w:val="24"/>
              </w:rPr>
            </w:pPr>
            <w:r>
              <w:rPr>
                <w:rFonts w:hint="eastAsia" w:ascii="宋体" w:hAnsi="宋体" w:cs="楷体"/>
                <w:bCs/>
                <w:sz w:val="24"/>
              </w:rPr>
              <w:t>投标函</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sz w:val="24"/>
              </w:rPr>
              <w:t>法定代表人的授权委托书</w:t>
            </w:r>
          </w:p>
        </w:tc>
        <w:tc>
          <w:tcPr>
            <w:tcW w:w="2127" w:type="dxa"/>
            <w:vAlign w:val="center"/>
          </w:tcPr>
          <w:p>
            <w:pPr>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ascii="宋体" w:hAnsi="宋体" w:cs="楷体"/>
                <w:bCs/>
                <w:sz w:val="24"/>
              </w:rPr>
            </w:pPr>
            <w:r>
              <w:rPr>
                <w:rFonts w:hint="eastAsia" w:ascii="宋体" w:hAnsi="宋体" w:cs="楷体"/>
                <w:bCs/>
                <w:sz w:val="24"/>
              </w:rPr>
              <w:t>承诺书</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ind w:firstLine="480" w:firstLineChars="200"/>
              <w:jc w:val="center"/>
              <w:rPr>
                <w:rFonts w:ascii="宋体" w:hAnsi="宋体" w:cs="楷体"/>
                <w:bCs/>
                <w:sz w:val="24"/>
              </w:rPr>
            </w:pPr>
            <w:r>
              <w:rPr>
                <w:rFonts w:hint="eastAsia" w:ascii="宋体" w:hAnsi="宋体"/>
                <w:sz w:val="24"/>
              </w:rPr>
              <w:t>营业执照复印件</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6</w:t>
            </w:r>
          </w:p>
        </w:tc>
        <w:tc>
          <w:tcPr>
            <w:tcW w:w="4770" w:type="dxa"/>
            <w:vAlign w:val="center"/>
          </w:tcPr>
          <w:p>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pPr>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pPr>
              <w:jc w:val="center"/>
              <w:rPr>
                <w:rFonts w:ascii="宋体" w:hAnsi="宋体" w:cs="楷体"/>
                <w:bCs/>
                <w:sz w:val="24"/>
              </w:rPr>
            </w:pPr>
            <w:r>
              <w:rPr>
                <w:rFonts w:hint="eastAsia" w:ascii="宋体" w:hAnsi="宋体" w:cs="楷体"/>
                <w:bCs/>
                <w:sz w:val="24"/>
              </w:rPr>
              <w:t>7</w:t>
            </w:r>
          </w:p>
        </w:tc>
        <w:tc>
          <w:tcPr>
            <w:tcW w:w="4770" w:type="dxa"/>
            <w:vAlign w:val="center"/>
          </w:tcPr>
          <w:p>
            <w:pPr>
              <w:jc w:val="center"/>
              <w:rPr>
                <w:rFonts w:ascii="宋体" w:hAnsi="宋体" w:cs="楷体"/>
                <w:bCs/>
                <w:sz w:val="24"/>
              </w:rPr>
            </w:pPr>
            <w:r>
              <w:rPr>
                <w:rFonts w:hint="eastAsia" w:ascii="宋体" w:hAnsi="宋体" w:cs="楷体"/>
                <w:bCs/>
                <w:sz w:val="24"/>
              </w:rPr>
              <w:t>信用证书或信用查询截图</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8</w:t>
            </w:r>
          </w:p>
        </w:tc>
        <w:tc>
          <w:tcPr>
            <w:tcW w:w="4770" w:type="dxa"/>
            <w:vAlign w:val="center"/>
          </w:tcPr>
          <w:p>
            <w:pPr>
              <w:ind w:firstLine="480" w:firstLineChars="200"/>
              <w:jc w:val="center"/>
              <w:rPr>
                <w:rFonts w:ascii="宋体" w:hAnsi="宋体" w:cs="楷体"/>
                <w:bCs/>
                <w:sz w:val="24"/>
              </w:rPr>
            </w:pPr>
            <w:r>
              <w:rPr>
                <w:rFonts w:hint="eastAsia" w:ascii="宋体" w:hAnsi="宋体" w:cs="楷体"/>
                <w:bCs/>
                <w:sz w:val="24"/>
              </w:rPr>
              <w:t>企业、项目负责人相关证书复印件</w:t>
            </w:r>
          </w:p>
        </w:tc>
        <w:tc>
          <w:tcPr>
            <w:tcW w:w="2127" w:type="dxa"/>
            <w:vAlign w:val="center"/>
          </w:tcPr>
          <w:p>
            <w:pPr>
              <w:ind w:firstLine="480" w:firstLineChars="200"/>
              <w:rPr>
                <w:rFonts w:ascii="宋体" w:hAnsi="宋体" w:cs="楷体"/>
                <w:bCs/>
                <w:sz w:val="24"/>
              </w:rPr>
            </w:pPr>
            <w:r>
              <w:rPr>
                <w:rFonts w:hint="eastAsia" w:ascii="宋体" w:hAnsi="宋体" w:cs="楷体"/>
                <w:bCs/>
                <w:sz w:val="24"/>
              </w:rPr>
              <w:t>投标人资格条件中对企业、项目负责人资质（资格）有要求时须提供相关证书复印件，否则无须提供。</w:t>
            </w:r>
          </w:p>
        </w:tc>
        <w:tc>
          <w:tcPr>
            <w:tcW w:w="1984" w:type="dxa"/>
            <w:vAlign w:val="center"/>
          </w:tcPr>
          <w:p>
            <w:pPr>
              <w:ind w:firstLine="480" w:firstLineChars="200"/>
              <w:rPr>
                <w:rFonts w:ascii="宋体" w:hAnsi="宋体" w:cs="楷体"/>
                <w:bCs/>
                <w:sz w:val="24"/>
              </w:rPr>
            </w:pPr>
          </w:p>
        </w:tc>
      </w:tr>
    </w:tbl>
    <w:p>
      <w:pPr>
        <w:pStyle w:val="9"/>
        <w:spacing w:after="0"/>
        <w:ind w:firstLine="0" w:firstLineChars="0"/>
        <w:rPr>
          <w:rFonts w:ascii="宋体" w:hAnsi="宋体" w:eastAsia="宋体"/>
          <w:sz w:val="24"/>
          <w:szCs w:val="24"/>
        </w:rPr>
      </w:pPr>
    </w:p>
    <w:p>
      <w:pPr>
        <w:pStyle w:val="19"/>
        <w:spacing w:after="0"/>
        <w:ind w:firstLine="0" w:firstLineChars="0"/>
        <w:rPr>
          <w:rFonts w:ascii="宋体" w:hAnsi="宋体" w:eastAsia="宋体"/>
          <w:sz w:val="24"/>
          <w:szCs w:val="24"/>
        </w:rPr>
      </w:pPr>
      <w:r>
        <w:rPr>
          <w:rFonts w:hint="eastAsia" w:ascii="宋体" w:hAnsi="宋体" w:eastAsia="宋体"/>
          <w:sz w:val="24"/>
          <w:szCs w:val="24"/>
        </w:rPr>
        <w:t>注：</w:t>
      </w:r>
    </w:p>
    <w:p>
      <w:pPr>
        <w:pStyle w:val="19"/>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pPr>
        <w:pStyle w:val="19"/>
        <w:spacing w:after="0"/>
        <w:ind w:firstLine="0" w:firstLineChars="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pStyle w:val="9"/>
        <w:spacing w:after="0"/>
        <w:ind w:firstLine="0" w:firstLineChars="0"/>
        <w:rPr>
          <w:rFonts w:ascii="宋体" w:hAnsi="宋体" w:eastAsia="宋体"/>
          <w:sz w:val="24"/>
          <w:szCs w:val="24"/>
        </w:rPr>
      </w:pPr>
    </w:p>
    <w:p>
      <w:pPr>
        <w:pStyle w:val="9"/>
        <w:spacing w:after="0"/>
        <w:ind w:firstLine="480" w:firstLineChars="200"/>
        <w:rPr>
          <w:rFonts w:ascii="宋体" w:hAnsi="宋体" w:eastAsia="宋体"/>
          <w:sz w:val="24"/>
          <w:szCs w:val="24"/>
        </w:rPr>
      </w:pPr>
      <w:r>
        <w:rPr>
          <w:rFonts w:hint="eastAsia" w:ascii="宋体" w:hAnsi="宋体" w:eastAsia="宋体"/>
          <w:sz w:val="24"/>
          <w:szCs w:val="24"/>
        </w:rPr>
        <w:t xml:space="preserve">                  </w:t>
      </w:r>
      <w:bookmarkEnd w:id="10"/>
    </w:p>
    <w:p>
      <w:pPr>
        <w:pStyle w:val="9"/>
        <w:spacing w:after="0"/>
        <w:ind w:firstLine="0" w:firstLineChars="0"/>
        <w:rPr>
          <w:rFonts w:ascii="宋体" w:hAnsi="宋体"/>
          <w:b/>
          <w:sz w:val="28"/>
          <w:szCs w:val="28"/>
        </w:rPr>
      </w:pPr>
      <w:r>
        <w:rPr>
          <w:rFonts w:ascii="宋体" w:hAnsi="宋体" w:eastAsia="宋体"/>
          <w:b/>
          <w:sz w:val="24"/>
          <w:szCs w:val="24"/>
        </w:rPr>
        <w:br w:type="page"/>
      </w:r>
      <w:r>
        <w:rPr>
          <w:rFonts w:hint="eastAsia" w:ascii="宋体" w:hAnsi="宋体"/>
          <w:b/>
          <w:sz w:val="28"/>
          <w:szCs w:val="28"/>
        </w:rPr>
        <w:t>评分办法</w:t>
      </w:r>
    </w:p>
    <w:tbl>
      <w:tblPr>
        <w:tblStyle w:val="10"/>
        <w:tblW w:w="102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397"/>
        <w:gridCol w:w="7121"/>
        <w:gridCol w:w="675"/>
        <w:gridCol w:w="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00" w:type="dxa"/>
            <w:tcMar>
              <w:top w:w="12" w:type="dxa"/>
              <w:left w:w="12" w:type="dxa"/>
              <w:right w:w="12"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1397" w:type="dxa"/>
            <w:tcMar>
              <w:top w:w="12" w:type="dxa"/>
              <w:left w:w="12" w:type="dxa"/>
              <w:right w:w="12"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评分因素</w:t>
            </w:r>
          </w:p>
        </w:tc>
        <w:tc>
          <w:tcPr>
            <w:tcW w:w="7121" w:type="dxa"/>
            <w:tcMar>
              <w:top w:w="12" w:type="dxa"/>
              <w:left w:w="12" w:type="dxa"/>
              <w:right w:w="12"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评审标准</w:t>
            </w:r>
          </w:p>
        </w:tc>
        <w:tc>
          <w:tcPr>
            <w:tcW w:w="675" w:type="dxa"/>
            <w:tcMar>
              <w:top w:w="12" w:type="dxa"/>
              <w:left w:w="12" w:type="dxa"/>
              <w:right w:w="12"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分值</w:t>
            </w:r>
          </w:p>
        </w:tc>
        <w:tc>
          <w:tcPr>
            <w:tcW w:w="501" w:type="dxa"/>
            <w:tcMar>
              <w:top w:w="12" w:type="dxa"/>
              <w:left w:w="12" w:type="dxa"/>
              <w:right w:w="12" w:type="dxa"/>
            </w:tcMar>
            <w:vAlign w:val="center"/>
          </w:tcPr>
          <w:p>
            <w:pPr>
              <w:widowControl/>
              <w:jc w:val="center"/>
              <w:textAlignment w:val="center"/>
              <w:rPr>
                <w:rFonts w:hint="eastAsia"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600" w:type="dxa"/>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397" w:type="dxa"/>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价格分</w:t>
            </w:r>
          </w:p>
        </w:tc>
        <w:tc>
          <w:tcPr>
            <w:tcW w:w="7121" w:type="dxa"/>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满足采购文件要求且投标价格最低的投标报价为评标基准价，其价格分为满分。其他投标人的价格分统一按照下列公式计算：投标报价得分=(评标基准价／投标报价)×</w:t>
            </w:r>
            <w:r>
              <w:rPr>
                <w:rFonts w:ascii="宋体" w:hAnsi="宋体" w:cs="宋体"/>
                <w:color w:val="000000"/>
                <w:kern w:val="0"/>
                <w:szCs w:val="21"/>
              </w:rPr>
              <w:t>3</w:t>
            </w:r>
            <w:r>
              <w:rPr>
                <w:rFonts w:hint="eastAsia" w:ascii="宋体" w:hAnsi="宋体" w:cs="宋体"/>
                <w:color w:val="000000"/>
                <w:kern w:val="0"/>
                <w:szCs w:val="21"/>
              </w:rPr>
              <w:t>0</w:t>
            </w:r>
          </w:p>
        </w:tc>
        <w:tc>
          <w:tcPr>
            <w:tcW w:w="675" w:type="dxa"/>
            <w:tcMar>
              <w:top w:w="12" w:type="dxa"/>
              <w:left w:w="12" w:type="dxa"/>
              <w:right w:w="12" w:type="dxa"/>
            </w:tcMar>
            <w:vAlign w:val="center"/>
          </w:tcPr>
          <w:p>
            <w:pPr>
              <w:widowControl/>
              <w:jc w:val="center"/>
              <w:textAlignment w:val="center"/>
              <w:rPr>
                <w:rFonts w:ascii="宋体" w:hAnsi="宋体" w:cs="宋体"/>
                <w:b/>
                <w:color w:val="000000"/>
                <w:szCs w:val="21"/>
              </w:rPr>
            </w:pPr>
            <w:r>
              <w:rPr>
                <w:rFonts w:ascii="宋体" w:hAnsi="宋体" w:cs="宋体"/>
                <w:b/>
                <w:color w:val="000000"/>
                <w:kern w:val="0"/>
                <w:szCs w:val="21"/>
              </w:rPr>
              <w:t>3</w:t>
            </w:r>
            <w:r>
              <w:rPr>
                <w:rFonts w:hint="eastAsia" w:ascii="宋体" w:hAnsi="宋体" w:cs="宋体"/>
                <w:b/>
                <w:color w:val="000000"/>
                <w:kern w:val="0"/>
                <w:szCs w:val="21"/>
              </w:rPr>
              <w:t>0</w:t>
            </w:r>
          </w:p>
        </w:tc>
        <w:tc>
          <w:tcPr>
            <w:tcW w:w="501" w:type="dxa"/>
            <w:tcMar>
              <w:top w:w="12" w:type="dxa"/>
              <w:left w:w="12" w:type="dxa"/>
              <w:right w:w="12" w:type="dxa"/>
            </w:tcMar>
            <w:vAlign w:val="center"/>
          </w:tcPr>
          <w:p>
            <w:pPr>
              <w:widowControl/>
              <w:jc w:val="center"/>
              <w:textAlignment w:val="center"/>
              <w:rPr>
                <w:rFonts w:ascii="宋体" w:hAnsi="宋体" w:cs="宋体"/>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00" w:type="dxa"/>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397" w:type="dxa"/>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企业规模、实力与资质</w:t>
            </w:r>
          </w:p>
        </w:tc>
        <w:tc>
          <w:tcPr>
            <w:tcW w:w="7121" w:type="dxa"/>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综合考虑投标公司的规模、资金、实力、资质、信誉。优等的5分，良等的4分，一般的3分，其他的3分以下。</w:t>
            </w:r>
          </w:p>
        </w:tc>
        <w:tc>
          <w:tcPr>
            <w:tcW w:w="675" w:type="dxa"/>
            <w:noWrap/>
            <w:tcMar>
              <w:top w:w="12" w:type="dxa"/>
              <w:left w:w="12" w:type="dxa"/>
              <w:right w:w="12"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5</w:t>
            </w:r>
          </w:p>
        </w:tc>
        <w:tc>
          <w:tcPr>
            <w:tcW w:w="501" w:type="dxa"/>
            <w:noWrap/>
            <w:tcMar>
              <w:top w:w="12" w:type="dxa"/>
              <w:left w:w="12" w:type="dxa"/>
              <w:right w:w="12" w:type="dxa"/>
            </w:tcMar>
            <w:vAlign w:val="center"/>
          </w:tcPr>
          <w:p>
            <w:pPr>
              <w:widowControl/>
              <w:jc w:val="center"/>
              <w:textAlignment w:val="center"/>
              <w:rPr>
                <w:rFonts w:hint="eastAsia" w:ascii="宋体" w:hAnsi="宋体" w:cs="宋体"/>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600" w:type="dxa"/>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397" w:type="dxa"/>
            <w:tcMar>
              <w:top w:w="12" w:type="dxa"/>
              <w:left w:w="12" w:type="dxa"/>
              <w:right w:w="12" w:type="dxa"/>
            </w:tcMar>
            <w:vAlign w:val="center"/>
          </w:tcPr>
          <w:p>
            <w:pPr>
              <w:widowControl/>
              <w:jc w:val="center"/>
              <w:textAlignment w:val="center"/>
              <w:rPr>
                <w:rFonts w:ascii="宋体" w:hAnsi="宋体" w:cs="宋体"/>
                <w:szCs w:val="21"/>
              </w:rPr>
            </w:pPr>
            <w:r>
              <w:rPr>
                <w:rFonts w:hint="eastAsia" w:ascii="宋体" w:hAnsi="宋体" w:cs="宋体"/>
                <w:kern w:val="0"/>
                <w:szCs w:val="21"/>
              </w:rPr>
              <w:t>企业业绩与信誉</w:t>
            </w:r>
          </w:p>
        </w:tc>
        <w:tc>
          <w:tcPr>
            <w:tcW w:w="7121" w:type="dxa"/>
            <w:tcMar>
              <w:top w:w="12" w:type="dxa"/>
              <w:left w:w="12" w:type="dxa"/>
              <w:right w:w="12" w:type="dxa"/>
            </w:tcMar>
            <w:vAlign w:val="center"/>
          </w:tcPr>
          <w:p>
            <w:pPr>
              <w:widowControl/>
              <w:jc w:val="left"/>
              <w:textAlignment w:val="center"/>
              <w:rPr>
                <w:rFonts w:ascii="宋体" w:hAnsi="宋体" w:cs="宋体"/>
                <w:szCs w:val="21"/>
              </w:rPr>
            </w:pPr>
            <w:r>
              <w:rPr>
                <w:rFonts w:hint="eastAsia" w:ascii="宋体" w:hAnsi="宋体" w:cs="宋体"/>
                <w:kern w:val="0"/>
                <w:szCs w:val="21"/>
              </w:rPr>
              <w:t>投标文件中提供投标人自2020年</w:t>
            </w:r>
            <w:r>
              <w:rPr>
                <w:rFonts w:hint="eastAsia" w:ascii="宋体" w:hAnsi="宋体" w:cs="宋体"/>
                <w:kern w:val="0"/>
                <w:szCs w:val="21"/>
                <w:lang w:val="en-US" w:eastAsia="zh-CN"/>
              </w:rPr>
              <w:t>8</w:t>
            </w:r>
            <w:r>
              <w:rPr>
                <w:rFonts w:hint="eastAsia" w:ascii="宋体" w:hAnsi="宋体" w:cs="宋体"/>
                <w:kern w:val="0"/>
                <w:szCs w:val="21"/>
              </w:rPr>
              <w:t>月1日以来类似项目业绩，优的5分，良的4分，一般的3分，其他的3分以下。（提供合同原件备查，否则不得分。）</w:t>
            </w:r>
          </w:p>
        </w:tc>
        <w:tc>
          <w:tcPr>
            <w:tcW w:w="675" w:type="dxa"/>
            <w:noWrap/>
            <w:tcMar>
              <w:top w:w="12" w:type="dxa"/>
              <w:left w:w="12" w:type="dxa"/>
              <w:right w:w="12"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5</w:t>
            </w:r>
          </w:p>
        </w:tc>
        <w:tc>
          <w:tcPr>
            <w:tcW w:w="501" w:type="dxa"/>
            <w:noWrap/>
            <w:tcMar>
              <w:top w:w="12" w:type="dxa"/>
              <w:left w:w="12" w:type="dxa"/>
              <w:right w:w="12" w:type="dxa"/>
            </w:tcMar>
            <w:vAlign w:val="center"/>
          </w:tcPr>
          <w:p>
            <w:pPr>
              <w:widowControl/>
              <w:jc w:val="center"/>
              <w:textAlignment w:val="center"/>
              <w:rPr>
                <w:rFonts w:hint="eastAsia" w:ascii="宋体" w:hAnsi="宋体" w:cs="宋体"/>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00" w:type="dxa"/>
            <w:noWrap/>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4</w:t>
            </w:r>
          </w:p>
        </w:tc>
        <w:tc>
          <w:tcPr>
            <w:tcW w:w="1397" w:type="dxa"/>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技术参数</w:t>
            </w:r>
          </w:p>
        </w:tc>
        <w:tc>
          <w:tcPr>
            <w:tcW w:w="7121" w:type="dxa"/>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对投标人报送的产品说明书对规格、尺寸、功能等技术参数进行综合评分，优得</w:t>
            </w:r>
            <w:r>
              <w:rPr>
                <w:rFonts w:ascii="宋体" w:hAnsi="宋体" w:cs="宋体"/>
                <w:color w:val="000000"/>
                <w:kern w:val="0"/>
                <w:szCs w:val="21"/>
              </w:rPr>
              <w:t>17</w:t>
            </w:r>
            <w:r>
              <w:rPr>
                <w:rFonts w:hint="eastAsia" w:ascii="宋体" w:hAnsi="宋体" w:cs="宋体"/>
                <w:color w:val="000000"/>
                <w:kern w:val="0"/>
                <w:szCs w:val="21"/>
              </w:rPr>
              <w:t>-</w:t>
            </w:r>
            <w:r>
              <w:rPr>
                <w:rFonts w:ascii="宋体" w:hAnsi="宋体" w:cs="宋体"/>
                <w:color w:val="000000"/>
                <w:kern w:val="0"/>
                <w:szCs w:val="21"/>
              </w:rPr>
              <w:t>20</w:t>
            </w:r>
            <w:r>
              <w:rPr>
                <w:rFonts w:hint="eastAsia" w:ascii="宋体" w:hAnsi="宋体" w:cs="宋体"/>
                <w:color w:val="000000"/>
                <w:kern w:val="0"/>
                <w:szCs w:val="21"/>
              </w:rPr>
              <w:t>分，良得</w:t>
            </w:r>
            <w:r>
              <w:rPr>
                <w:rFonts w:ascii="宋体" w:hAnsi="宋体" w:cs="宋体"/>
                <w:color w:val="000000"/>
                <w:kern w:val="0"/>
                <w:szCs w:val="21"/>
              </w:rPr>
              <w:t>14</w:t>
            </w:r>
            <w:r>
              <w:rPr>
                <w:rFonts w:hint="eastAsia" w:ascii="宋体" w:hAnsi="宋体" w:cs="宋体"/>
                <w:color w:val="000000"/>
                <w:kern w:val="0"/>
                <w:szCs w:val="21"/>
              </w:rPr>
              <w:t>-</w:t>
            </w:r>
            <w:r>
              <w:rPr>
                <w:rFonts w:ascii="宋体" w:hAnsi="宋体" w:cs="宋体"/>
                <w:color w:val="000000"/>
                <w:kern w:val="0"/>
                <w:szCs w:val="21"/>
              </w:rPr>
              <w:t>16</w:t>
            </w:r>
            <w:r>
              <w:rPr>
                <w:rFonts w:hint="eastAsia" w:ascii="宋体" w:hAnsi="宋体" w:cs="宋体"/>
                <w:color w:val="000000"/>
                <w:kern w:val="0"/>
                <w:szCs w:val="21"/>
              </w:rPr>
              <w:t>分，一般得</w:t>
            </w:r>
            <w:r>
              <w:rPr>
                <w:rFonts w:ascii="宋体" w:hAnsi="宋体" w:cs="宋体"/>
                <w:color w:val="000000"/>
                <w:kern w:val="0"/>
                <w:szCs w:val="21"/>
              </w:rPr>
              <w:t>12</w:t>
            </w:r>
            <w:r>
              <w:rPr>
                <w:rFonts w:hint="eastAsia" w:ascii="宋体" w:hAnsi="宋体" w:cs="宋体"/>
                <w:color w:val="000000"/>
                <w:kern w:val="0"/>
                <w:szCs w:val="21"/>
              </w:rPr>
              <w:t>-1</w:t>
            </w:r>
            <w:r>
              <w:rPr>
                <w:rFonts w:ascii="宋体" w:hAnsi="宋体" w:cs="宋体"/>
                <w:color w:val="000000"/>
                <w:kern w:val="0"/>
                <w:szCs w:val="21"/>
              </w:rPr>
              <w:t>5</w:t>
            </w:r>
            <w:r>
              <w:rPr>
                <w:rFonts w:hint="eastAsia" w:ascii="宋体" w:hAnsi="宋体" w:cs="宋体"/>
                <w:color w:val="000000"/>
                <w:kern w:val="0"/>
                <w:szCs w:val="21"/>
              </w:rPr>
              <w:t>分，其它</w:t>
            </w:r>
            <w:r>
              <w:rPr>
                <w:rFonts w:ascii="宋体" w:hAnsi="宋体" w:cs="宋体"/>
                <w:color w:val="000000"/>
                <w:kern w:val="0"/>
                <w:szCs w:val="21"/>
              </w:rPr>
              <w:t>12</w:t>
            </w:r>
            <w:r>
              <w:rPr>
                <w:rFonts w:hint="eastAsia" w:ascii="宋体" w:hAnsi="宋体" w:cs="宋体"/>
                <w:color w:val="000000"/>
                <w:kern w:val="0"/>
                <w:szCs w:val="21"/>
              </w:rPr>
              <w:t>分以下。</w:t>
            </w:r>
          </w:p>
        </w:tc>
        <w:tc>
          <w:tcPr>
            <w:tcW w:w="675" w:type="dxa"/>
            <w:noWrap/>
            <w:tcMar>
              <w:top w:w="12" w:type="dxa"/>
              <w:left w:w="12" w:type="dxa"/>
              <w:right w:w="12" w:type="dxa"/>
            </w:tcMar>
            <w:vAlign w:val="center"/>
          </w:tcPr>
          <w:p>
            <w:pPr>
              <w:widowControl/>
              <w:jc w:val="center"/>
              <w:textAlignment w:val="center"/>
              <w:rPr>
                <w:rFonts w:ascii="宋体" w:hAnsi="宋体" w:cs="宋体"/>
                <w:b/>
                <w:color w:val="000000"/>
                <w:szCs w:val="21"/>
              </w:rPr>
            </w:pPr>
            <w:r>
              <w:rPr>
                <w:rFonts w:ascii="宋体" w:hAnsi="宋体" w:cs="宋体"/>
                <w:b/>
                <w:color w:val="000000"/>
                <w:kern w:val="0"/>
                <w:szCs w:val="21"/>
              </w:rPr>
              <w:t>2</w:t>
            </w:r>
            <w:r>
              <w:rPr>
                <w:rFonts w:hint="eastAsia" w:ascii="宋体" w:hAnsi="宋体" w:cs="宋体"/>
                <w:b/>
                <w:color w:val="000000"/>
                <w:kern w:val="0"/>
                <w:szCs w:val="21"/>
              </w:rPr>
              <w:t>0</w:t>
            </w:r>
          </w:p>
        </w:tc>
        <w:tc>
          <w:tcPr>
            <w:tcW w:w="501" w:type="dxa"/>
            <w:noWrap/>
            <w:tcMar>
              <w:top w:w="12" w:type="dxa"/>
              <w:left w:w="12" w:type="dxa"/>
              <w:right w:w="12" w:type="dxa"/>
            </w:tcMar>
            <w:vAlign w:val="center"/>
          </w:tcPr>
          <w:p>
            <w:pPr>
              <w:widowControl/>
              <w:jc w:val="center"/>
              <w:textAlignment w:val="center"/>
              <w:rPr>
                <w:rFonts w:ascii="宋体" w:hAnsi="宋体" w:cs="宋体"/>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00" w:type="dxa"/>
            <w:noWrap/>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5</w:t>
            </w:r>
          </w:p>
        </w:tc>
        <w:tc>
          <w:tcPr>
            <w:tcW w:w="1397" w:type="dxa"/>
            <w:tcMar>
              <w:top w:w="12" w:type="dxa"/>
              <w:left w:w="12" w:type="dxa"/>
              <w:right w:w="12" w:type="dxa"/>
            </w:tcMar>
            <w:vAlign w:val="center"/>
          </w:tcPr>
          <w:p>
            <w:pPr>
              <w:widowControl/>
              <w:jc w:val="center"/>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品牌及</w:t>
            </w:r>
            <w:r>
              <w:rPr>
                <w:rFonts w:hint="eastAsia" w:ascii="宋体" w:hAnsi="宋体" w:cs="宋体"/>
                <w:color w:val="000000"/>
                <w:kern w:val="0"/>
                <w:szCs w:val="21"/>
                <w:lang w:val="en-US" w:eastAsia="zh-CN"/>
              </w:rPr>
              <w:t>选型</w:t>
            </w:r>
          </w:p>
        </w:tc>
        <w:tc>
          <w:tcPr>
            <w:tcW w:w="7121" w:type="dxa"/>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评委根据投标人所投产品的品牌与选型情况进行综合打分。优等的9-10分，良等的7-8分，一般的6分，其他的6分以下。</w:t>
            </w:r>
          </w:p>
        </w:tc>
        <w:tc>
          <w:tcPr>
            <w:tcW w:w="675" w:type="dxa"/>
            <w:noWrap/>
            <w:tcMar>
              <w:top w:w="12" w:type="dxa"/>
              <w:left w:w="12" w:type="dxa"/>
              <w:right w:w="12" w:type="dxa"/>
            </w:tcMar>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10</w:t>
            </w:r>
          </w:p>
        </w:tc>
        <w:tc>
          <w:tcPr>
            <w:tcW w:w="501" w:type="dxa"/>
            <w:noWrap/>
            <w:tcMar>
              <w:top w:w="12" w:type="dxa"/>
              <w:left w:w="12" w:type="dxa"/>
              <w:right w:w="12" w:type="dxa"/>
            </w:tcMar>
            <w:vAlign w:val="center"/>
          </w:tcPr>
          <w:p>
            <w:pPr>
              <w:widowControl/>
              <w:jc w:val="center"/>
              <w:textAlignment w:val="center"/>
              <w:rPr>
                <w:rFonts w:hint="eastAsia" w:ascii="宋体" w:hAnsi="宋体" w:cs="宋体"/>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00" w:type="dxa"/>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397" w:type="dxa"/>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实施方案</w:t>
            </w:r>
          </w:p>
        </w:tc>
        <w:tc>
          <w:tcPr>
            <w:tcW w:w="7121" w:type="dxa"/>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lang w:val="en-US" w:eastAsia="zh-CN"/>
              </w:rPr>
              <w:t>评委根据投标人</w:t>
            </w:r>
            <w:r>
              <w:rPr>
                <w:rFonts w:hint="eastAsia" w:ascii="宋体" w:hAnsi="宋体" w:cs="宋体"/>
                <w:color w:val="000000"/>
                <w:kern w:val="0"/>
                <w:szCs w:val="21"/>
              </w:rPr>
              <w:t>实施方案设计总体方案科学、合理、有针对性，对本项目施工中的重点和难点问题进行预测并提出合理解决办法；为本项目配备足够的专业安装人员。优得</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0分，良得</w:t>
            </w:r>
            <w:r>
              <w:rPr>
                <w:rFonts w:ascii="宋体" w:hAnsi="宋体" w:cs="宋体"/>
                <w:color w:val="000000"/>
                <w:kern w:val="0"/>
                <w:szCs w:val="21"/>
              </w:rPr>
              <w:t>7</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分，一般得</w:t>
            </w:r>
            <w:r>
              <w:rPr>
                <w:rFonts w:ascii="宋体" w:hAnsi="宋体" w:cs="宋体"/>
                <w:color w:val="000000"/>
                <w:kern w:val="0"/>
                <w:szCs w:val="21"/>
              </w:rPr>
              <w:t>6</w:t>
            </w:r>
            <w:r>
              <w:rPr>
                <w:rFonts w:hint="eastAsia" w:ascii="宋体" w:hAnsi="宋体" w:cs="宋体"/>
                <w:color w:val="000000"/>
                <w:kern w:val="0"/>
                <w:szCs w:val="21"/>
              </w:rPr>
              <w:t>分，其它的</w:t>
            </w:r>
            <w:r>
              <w:rPr>
                <w:rFonts w:ascii="宋体" w:hAnsi="宋体" w:cs="宋体"/>
                <w:color w:val="000000"/>
                <w:kern w:val="0"/>
                <w:szCs w:val="21"/>
              </w:rPr>
              <w:t>6</w:t>
            </w:r>
            <w:r>
              <w:rPr>
                <w:rFonts w:hint="eastAsia" w:ascii="宋体" w:hAnsi="宋体" w:cs="宋体"/>
                <w:color w:val="000000"/>
                <w:kern w:val="0"/>
                <w:szCs w:val="21"/>
              </w:rPr>
              <w:t>分以下。</w:t>
            </w:r>
          </w:p>
        </w:tc>
        <w:tc>
          <w:tcPr>
            <w:tcW w:w="675" w:type="dxa"/>
            <w:noWrap/>
            <w:tcMar>
              <w:top w:w="12" w:type="dxa"/>
              <w:left w:w="12" w:type="dxa"/>
              <w:right w:w="12" w:type="dxa"/>
            </w:tcMar>
            <w:vAlign w:val="center"/>
          </w:tcPr>
          <w:p>
            <w:pPr>
              <w:widowControl/>
              <w:jc w:val="center"/>
              <w:textAlignment w:val="center"/>
              <w:rPr>
                <w:rFonts w:ascii="宋体" w:hAnsi="宋体" w:cs="宋体"/>
                <w:b/>
                <w:color w:val="000000"/>
                <w:kern w:val="0"/>
                <w:szCs w:val="21"/>
              </w:rPr>
            </w:pPr>
            <w:r>
              <w:rPr>
                <w:rFonts w:ascii="宋体" w:hAnsi="宋体" w:cs="宋体"/>
                <w:b/>
                <w:color w:val="000000"/>
                <w:kern w:val="0"/>
                <w:szCs w:val="21"/>
              </w:rPr>
              <w:t>10</w:t>
            </w:r>
          </w:p>
        </w:tc>
        <w:tc>
          <w:tcPr>
            <w:tcW w:w="501" w:type="dxa"/>
            <w:noWrap/>
            <w:tcMar>
              <w:top w:w="12" w:type="dxa"/>
              <w:left w:w="12" w:type="dxa"/>
              <w:right w:w="12" w:type="dxa"/>
            </w:tcMar>
            <w:vAlign w:val="center"/>
          </w:tcPr>
          <w:p>
            <w:pPr>
              <w:widowControl/>
              <w:jc w:val="center"/>
              <w:textAlignment w:val="center"/>
              <w:rPr>
                <w:rFonts w:ascii="宋体" w:hAnsi="宋体" w:cs="宋体"/>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00" w:type="dxa"/>
            <w:noWrap/>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w:t>
            </w:r>
          </w:p>
        </w:tc>
        <w:tc>
          <w:tcPr>
            <w:tcW w:w="1397" w:type="dxa"/>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服务支持与售后</w:t>
            </w:r>
          </w:p>
        </w:tc>
        <w:tc>
          <w:tcPr>
            <w:tcW w:w="7121" w:type="dxa"/>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对响应文件中《服务支持与售后》详细的售后服务及培训内容、方式、流程以及售后服务保障与措施方案等进行评分。优得</w:t>
            </w:r>
            <w:r>
              <w:rPr>
                <w:rFonts w:hint="eastAsia" w:ascii="宋体" w:hAnsi="宋体" w:cs="宋体"/>
                <w:color w:val="000000"/>
                <w:kern w:val="0"/>
                <w:szCs w:val="21"/>
                <w:lang w:val="en-US" w:eastAsia="zh-CN"/>
              </w:rPr>
              <w:t>7</w:t>
            </w:r>
            <w:r>
              <w:rPr>
                <w:rFonts w:hint="eastAsia" w:ascii="宋体" w:hAnsi="宋体" w:cs="宋体"/>
                <w:color w:val="000000"/>
                <w:kern w:val="0"/>
                <w:szCs w:val="21"/>
              </w:rPr>
              <w:t>-</w:t>
            </w:r>
            <w:r>
              <w:rPr>
                <w:rFonts w:hint="eastAsia" w:ascii="宋体" w:hAnsi="宋体" w:cs="宋体"/>
                <w:color w:val="000000"/>
                <w:kern w:val="0"/>
                <w:szCs w:val="21"/>
                <w:lang w:val="en-US" w:eastAsia="zh-CN"/>
              </w:rPr>
              <w:t>10</w:t>
            </w:r>
            <w:r>
              <w:rPr>
                <w:rFonts w:hint="eastAsia" w:ascii="宋体" w:hAnsi="宋体" w:cs="宋体"/>
                <w:color w:val="000000"/>
                <w:kern w:val="0"/>
                <w:szCs w:val="21"/>
              </w:rPr>
              <w:t>分，良得</w:t>
            </w:r>
            <w:r>
              <w:rPr>
                <w:rFonts w:hint="eastAsia" w:ascii="宋体" w:hAnsi="宋体" w:cs="宋体"/>
                <w:color w:val="000000"/>
                <w:kern w:val="0"/>
                <w:szCs w:val="21"/>
                <w:lang w:val="en-US" w:eastAsia="zh-CN"/>
              </w:rPr>
              <w:t>3</w:t>
            </w:r>
            <w:r>
              <w:rPr>
                <w:rFonts w:hint="eastAsia" w:ascii="宋体" w:hAnsi="宋体" w:cs="宋体"/>
                <w:color w:val="000000"/>
                <w:kern w:val="0"/>
                <w:szCs w:val="21"/>
              </w:rPr>
              <w:t>-</w:t>
            </w:r>
            <w:r>
              <w:rPr>
                <w:rFonts w:hint="eastAsia" w:ascii="宋体" w:hAnsi="宋体" w:cs="宋体"/>
                <w:color w:val="000000"/>
                <w:kern w:val="0"/>
                <w:szCs w:val="21"/>
                <w:lang w:val="en-US" w:eastAsia="zh-CN"/>
              </w:rPr>
              <w:t>6</w:t>
            </w:r>
            <w:r>
              <w:rPr>
                <w:rFonts w:hint="eastAsia" w:ascii="宋体" w:hAnsi="宋体" w:cs="宋体"/>
                <w:color w:val="000000"/>
                <w:kern w:val="0"/>
                <w:szCs w:val="21"/>
              </w:rPr>
              <w:t>分，一般得</w:t>
            </w:r>
            <w:r>
              <w:rPr>
                <w:rFonts w:hint="eastAsia" w:ascii="宋体" w:hAnsi="宋体" w:cs="宋体"/>
                <w:color w:val="000000"/>
                <w:kern w:val="0"/>
                <w:szCs w:val="21"/>
                <w:lang w:val="en-US" w:eastAsia="zh-CN"/>
              </w:rPr>
              <w:t>1-2</w:t>
            </w:r>
            <w:r>
              <w:rPr>
                <w:rFonts w:hint="eastAsia" w:ascii="宋体" w:hAnsi="宋体" w:cs="宋体"/>
                <w:color w:val="000000"/>
                <w:kern w:val="0"/>
                <w:szCs w:val="21"/>
              </w:rPr>
              <w:t>分，差得0分。</w:t>
            </w:r>
          </w:p>
        </w:tc>
        <w:tc>
          <w:tcPr>
            <w:tcW w:w="675" w:type="dxa"/>
            <w:noWrap/>
            <w:tcMar>
              <w:top w:w="12" w:type="dxa"/>
              <w:left w:w="12" w:type="dxa"/>
              <w:right w:w="12" w:type="dxa"/>
            </w:tcMar>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10</w:t>
            </w:r>
          </w:p>
        </w:tc>
        <w:tc>
          <w:tcPr>
            <w:tcW w:w="501" w:type="dxa"/>
            <w:noWrap/>
            <w:tcMar>
              <w:top w:w="12" w:type="dxa"/>
              <w:left w:w="12" w:type="dxa"/>
              <w:right w:w="12" w:type="dxa"/>
            </w:tcMar>
            <w:vAlign w:val="center"/>
          </w:tcPr>
          <w:p>
            <w:pPr>
              <w:widowControl/>
              <w:jc w:val="center"/>
              <w:textAlignment w:val="center"/>
              <w:rPr>
                <w:rFonts w:hint="eastAsia" w:ascii="宋体" w:hAnsi="宋体" w:cs="宋体"/>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00" w:type="dxa"/>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8</w:t>
            </w:r>
          </w:p>
        </w:tc>
        <w:tc>
          <w:tcPr>
            <w:tcW w:w="1397" w:type="dxa"/>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供货安装期</w:t>
            </w:r>
          </w:p>
        </w:tc>
        <w:tc>
          <w:tcPr>
            <w:tcW w:w="7121" w:type="dxa"/>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供货安装期安排科学、合理，安装与调试进度计划和各阶段进度的保证措施清晰明了。优得5分，良得4分，一般得3分，其它的3分以下。</w:t>
            </w:r>
          </w:p>
        </w:tc>
        <w:tc>
          <w:tcPr>
            <w:tcW w:w="675" w:type="dxa"/>
            <w:noWrap/>
            <w:tcMar>
              <w:top w:w="12" w:type="dxa"/>
              <w:left w:w="12" w:type="dxa"/>
              <w:right w:w="12"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5</w:t>
            </w:r>
          </w:p>
        </w:tc>
        <w:tc>
          <w:tcPr>
            <w:tcW w:w="501" w:type="dxa"/>
            <w:noWrap/>
            <w:tcMar>
              <w:top w:w="12" w:type="dxa"/>
              <w:left w:w="12" w:type="dxa"/>
              <w:right w:w="12" w:type="dxa"/>
            </w:tcMar>
            <w:vAlign w:val="center"/>
          </w:tcPr>
          <w:p>
            <w:pPr>
              <w:widowControl/>
              <w:jc w:val="center"/>
              <w:textAlignment w:val="center"/>
              <w:rPr>
                <w:rFonts w:hint="eastAsia" w:ascii="宋体" w:hAnsi="宋体" w:cs="宋体"/>
                <w:b/>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00" w:type="dxa"/>
            <w:noWrap/>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9</w:t>
            </w:r>
          </w:p>
        </w:tc>
        <w:tc>
          <w:tcPr>
            <w:tcW w:w="1397" w:type="dxa"/>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质保</w:t>
            </w:r>
          </w:p>
        </w:tc>
        <w:tc>
          <w:tcPr>
            <w:tcW w:w="7121" w:type="dxa"/>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质保期</w:t>
            </w:r>
            <w:r>
              <w:rPr>
                <w:rFonts w:ascii="宋体" w:hAnsi="宋体" w:cs="宋体"/>
                <w:color w:val="000000"/>
                <w:kern w:val="0"/>
                <w:szCs w:val="21"/>
              </w:rPr>
              <w:t>3</w:t>
            </w:r>
            <w:r>
              <w:rPr>
                <w:rFonts w:hint="eastAsia" w:ascii="宋体" w:hAnsi="宋体" w:cs="宋体"/>
                <w:color w:val="000000"/>
                <w:kern w:val="0"/>
                <w:szCs w:val="21"/>
              </w:rPr>
              <w:t>年得</w:t>
            </w:r>
            <w:r>
              <w:rPr>
                <w:rFonts w:hint="eastAsia" w:ascii="宋体" w:hAnsi="宋体" w:cs="宋体"/>
                <w:color w:val="000000"/>
                <w:kern w:val="0"/>
                <w:szCs w:val="21"/>
                <w:lang w:val="en-US" w:eastAsia="zh-CN"/>
              </w:rPr>
              <w:t>2</w:t>
            </w:r>
            <w:r>
              <w:rPr>
                <w:rFonts w:hint="eastAsia" w:ascii="宋体" w:hAnsi="宋体" w:cs="宋体"/>
                <w:color w:val="000000"/>
                <w:kern w:val="0"/>
                <w:szCs w:val="21"/>
              </w:rPr>
              <w:t>分，每增加</w:t>
            </w:r>
            <w:r>
              <w:rPr>
                <w:rFonts w:hint="eastAsia" w:ascii="宋体" w:hAnsi="宋体" w:cs="宋体"/>
                <w:color w:val="000000"/>
                <w:kern w:val="0"/>
                <w:szCs w:val="21"/>
                <w:lang w:val="en-US" w:eastAsia="zh-CN"/>
              </w:rPr>
              <w:t>1</w:t>
            </w:r>
            <w:r>
              <w:rPr>
                <w:rFonts w:hint="eastAsia" w:ascii="宋体" w:hAnsi="宋体" w:cs="宋体"/>
                <w:color w:val="000000"/>
                <w:kern w:val="0"/>
                <w:szCs w:val="21"/>
              </w:rPr>
              <w:t>年得1分，最多得5分。</w:t>
            </w:r>
          </w:p>
        </w:tc>
        <w:tc>
          <w:tcPr>
            <w:tcW w:w="675" w:type="dxa"/>
            <w:noWrap/>
            <w:tcMar>
              <w:top w:w="12" w:type="dxa"/>
              <w:left w:w="12" w:type="dxa"/>
              <w:right w:w="12" w:type="dxa"/>
            </w:tcMar>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szCs w:val="21"/>
              </w:rPr>
              <w:t>5</w:t>
            </w:r>
          </w:p>
        </w:tc>
        <w:tc>
          <w:tcPr>
            <w:tcW w:w="501" w:type="dxa"/>
            <w:noWrap/>
            <w:tcMar>
              <w:top w:w="12" w:type="dxa"/>
              <w:left w:w="12" w:type="dxa"/>
              <w:right w:w="12" w:type="dxa"/>
            </w:tcMar>
            <w:vAlign w:val="center"/>
          </w:tcPr>
          <w:p>
            <w:pPr>
              <w:widowControl/>
              <w:jc w:val="center"/>
              <w:textAlignment w:val="center"/>
              <w:rPr>
                <w:rFonts w:hint="eastAsia" w:ascii="宋体" w:hAnsi="宋体" w:cs="宋体"/>
                <w:b/>
                <w:color w:val="000000"/>
                <w:szCs w:val="21"/>
              </w:rPr>
            </w:pPr>
          </w:p>
        </w:tc>
      </w:tr>
    </w:tbl>
    <w:p>
      <w:pPr>
        <w:pStyle w:val="15"/>
        <w:numPr>
          <w:ilvl w:val="0"/>
          <w:numId w:val="0"/>
        </w:numPr>
        <w:rPr>
          <w:sz w:val="22"/>
          <w:szCs w:val="28"/>
        </w:rPr>
      </w:pPr>
    </w:p>
    <w:p>
      <w:pPr>
        <w:pStyle w:val="15"/>
        <w:numPr>
          <w:ilvl w:val="0"/>
          <w:numId w:val="0"/>
        </w:numPr>
        <w:rPr>
          <w:sz w:val="22"/>
          <w:szCs w:val="28"/>
        </w:rPr>
      </w:pPr>
      <w:r>
        <w:rPr>
          <w:rFonts w:hint="eastAsia"/>
          <w:sz w:val="22"/>
          <w:szCs w:val="28"/>
        </w:rPr>
        <w:t>注：总分最高者为成交候选人；最高分相同时，价格分高者优先。</w:t>
      </w:r>
      <w:bookmarkStart w:id="11" w:name="_GoBack"/>
      <w:bookmarkEnd w:id="11"/>
    </w:p>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8"/>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8AB96"/>
    <w:multiLevelType w:val="singleLevel"/>
    <w:tmpl w:val="99E8AB96"/>
    <w:lvl w:ilvl="0" w:tentative="0">
      <w:start w:val="1"/>
      <w:numFmt w:val="decimal"/>
      <w:suff w:val="nothing"/>
      <w:lvlText w:val="%1、"/>
      <w:lvlJc w:val="left"/>
    </w:lvl>
  </w:abstractNum>
  <w:abstractNum w:abstractNumId="1">
    <w:nsid w:val="9EFE039C"/>
    <w:multiLevelType w:val="singleLevel"/>
    <w:tmpl w:val="9EFE039C"/>
    <w:lvl w:ilvl="0" w:tentative="0">
      <w:start w:val="1"/>
      <w:numFmt w:val="decimal"/>
      <w:suff w:val="nothing"/>
      <w:lvlText w:val="%1、"/>
      <w:lvlJc w:val="left"/>
    </w:lvl>
  </w:abstractNum>
  <w:abstractNum w:abstractNumId="2">
    <w:nsid w:val="B0FEEE29"/>
    <w:multiLevelType w:val="singleLevel"/>
    <w:tmpl w:val="B0FEEE29"/>
    <w:lvl w:ilvl="0" w:tentative="0">
      <w:start w:val="1"/>
      <w:numFmt w:val="decimal"/>
      <w:suff w:val="nothing"/>
      <w:lvlText w:val="%1、"/>
      <w:lvlJc w:val="left"/>
    </w:lvl>
  </w:abstractNum>
  <w:abstractNum w:abstractNumId="3">
    <w:nsid w:val="B1AA91D8"/>
    <w:multiLevelType w:val="singleLevel"/>
    <w:tmpl w:val="B1AA91D8"/>
    <w:lvl w:ilvl="0" w:tentative="0">
      <w:start w:val="1"/>
      <w:numFmt w:val="decimal"/>
      <w:suff w:val="nothing"/>
      <w:lvlText w:val="%1、"/>
      <w:lvlJc w:val="left"/>
    </w:lvl>
  </w:abstractNum>
  <w:abstractNum w:abstractNumId="4">
    <w:nsid w:val="B9DE42A5"/>
    <w:multiLevelType w:val="singleLevel"/>
    <w:tmpl w:val="B9DE42A5"/>
    <w:lvl w:ilvl="0" w:tentative="0">
      <w:start w:val="1"/>
      <w:numFmt w:val="decimal"/>
      <w:suff w:val="nothing"/>
      <w:lvlText w:val="%1、"/>
      <w:lvlJc w:val="left"/>
    </w:lvl>
  </w:abstractNum>
  <w:abstractNum w:abstractNumId="5">
    <w:nsid w:val="BBA5BCD8"/>
    <w:multiLevelType w:val="singleLevel"/>
    <w:tmpl w:val="BBA5BCD8"/>
    <w:lvl w:ilvl="0" w:tentative="0">
      <w:start w:val="1"/>
      <w:numFmt w:val="decimal"/>
      <w:suff w:val="nothing"/>
      <w:lvlText w:val="%1、"/>
      <w:lvlJc w:val="left"/>
    </w:lvl>
  </w:abstractNum>
  <w:abstractNum w:abstractNumId="6">
    <w:nsid w:val="BBFFCF3B"/>
    <w:multiLevelType w:val="singleLevel"/>
    <w:tmpl w:val="BBFFCF3B"/>
    <w:lvl w:ilvl="0" w:tentative="0">
      <w:start w:val="1"/>
      <w:numFmt w:val="decimal"/>
      <w:suff w:val="nothing"/>
      <w:lvlText w:val="%1、"/>
      <w:lvlJc w:val="left"/>
    </w:lvl>
  </w:abstractNum>
  <w:abstractNum w:abstractNumId="7">
    <w:nsid w:val="C7DFA1C4"/>
    <w:multiLevelType w:val="singleLevel"/>
    <w:tmpl w:val="C7DFA1C4"/>
    <w:lvl w:ilvl="0" w:tentative="0">
      <w:start w:val="1"/>
      <w:numFmt w:val="decimal"/>
      <w:suff w:val="nothing"/>
      <w:lvlText w:val="%1、"/>
      <w:lvlJc w:val="left"/>
    </w:lvl>
  </w:abstractNum>
  <w:abstractNum w:abstractNumId="8">
    <w:nsid w:val="CFE8F7C9"/>
    <w:multiLevelType w:val="singleLevel"/>
    <w:tmpl w:val="CFE8F7C9"/>
    <w:lvl w:ilvl="0" w:tentative="0">
      <w:start w:val="1"/>
      <w:numFmt w:val="decimal"/>
      <w:suff w:val="nothing"/>
      <w:lvlText w:val="%1、"/>
      <w:lvlJc w:val="left"/>
    </w:lvl>
  </w:abstractNum>
  <w:abstractNum w:abstractNumId="9">
    <w:nsid w:val="D9EE2871"/>
    <w:multiLevelType w:val="singleLevel"/>
    <w:tmpl w:val="D9EE2871"/>
    <w:lvl w:ilvl="0" w:tentative="0">
      <w:start w:val="1"/>
      <w:numFmt w:val="decimal"/>
      <w:suff w:val="nothing"/>
      <w:lvlText w:val="%1、"/>
      <w:lvlJc w:val="left"/>
    </w:lvl>
  </w:abstractNum>
  <w:abstractNum w:abstractNumId="10">
    <w:nsid w:val="DF3AC471"/>
    <w:multiLevelType w:val="singleLevel"/>
    <w:tmpl w:val="DF3AC471"/>
    <w:lvl w:ilvl="0" w:tentative="0">
      <w:start w:val="1"/>
      <w:numFmt w:val="decimal"/>
      <w:suff w:val="nothing"/>
      <w:lvlText w:val="%1、"/>
      <w:lvlJc w:val="left"/>
    </w:lvl>
  </w:abstractNum>
  <w:abstractNum w:abstractNumId="11">
    <w:nsid w:val="E464E829"/>
    <w:multiLevelType w:val="singleLevel"/>
    <w:tmpl w:val="E464E829"/>
    <w:lvl w:ilvl="0" w:tentative="0">
      <w:start w:val="1"/>
      <w:numFmt w:val="decimal"/>
      <w:suff w:val="nothing"/>
      <w:lvlText w:val="%1、"/>
      <w:lvlJc w:val="left"/>
    </w:lvl>
  </w:abstractNum>
  <w:abstractNum w:abstractNumId="12">
    <w:nsid w:val="E7776084"/>
    <w:multiLevelType w:val="singleLevel"/>
    <w:tmpl w:val="E7776084"/>
    <w:lvl w:ilvl="0" w:tentative="0">
      <w:start w:val="1"/>
      <w:numFmt w:val="decimal"/>
      <w:suff w:val="nothing"/>
      <w:lvlText w:val="%1、"/>
      <w:lvlJc w:val="left"/>
    </w:lvl>
  </w:abstractNum>
  <w:abstractNum w:abstractNumId="13">
    <w:nsid w:val="EAB71FD8"/>
    <w:multiLevelType w:val="singleLevel"/>
    <w:tmpl w:val="EAB71FD8"/>
    <w:lvl w:ilvl="0" w:tentative="0">
      <w:start w:val="1"/>
      <w:numFmt w:val="decimal"/>
      <w:suff w:val="nothing"/>
      <w:lvlText w:val="%1、"/>
      <w:lvlJc w:val="left"/>
    </w:lvl>
  </w:abstractNum>
  <w:abstractNum w:abstractNumId="14">
    <w:nsid w:val="EBF9D172"/>
    <w:multiLevelType w:val="singleLevel"/>
    <w:tmpl w:val="EBF9D172"/>
    <w:lvl w:ilvl="0" w:tentative="0">
      <w:start w:val="1"/>
      <w:numFmt w:val="decimal"/>
      <w:suff w:val="nothing"/>
      <w:lvlText w:val="%1、"/>
      <w:lvlJc w:val="left"/>
    </w:lvl>
  </w:abstractNum>
  <w:abstractNum w:abstractNumId="15">
    <w:nsid w:val="EC6F9997"/>
    <w:multiLevelType w:val="singleLevel"/>
    <w:tmpl w:val="EC6F9997"/>
    <w:lvl w:ilvl="0" w:tentative="0">
      <w:start w:val="1"/>
      <w:numFmt w:val="decimal"/>
      <w:suff w:val="nothing"/>
      <w:lvlText w:val="%1、"/>
      <w:lvlJc w:val="left"/>
    </w:lvl>
  </w:abstractNum>
  <w:abstractNum w:abstractNumId="16">
    <w:nsid w:val="EDFE60F7"/>
    <w:multiLevelType w:val="singleLevel"/>
    <w:tmpl w:val="EDFE60F7"/>
    <w:lvl w:ilvl="0" w:tentative="0">
      <w:start w:val="1"/>
      <w:numFmt w:val="decimal"/>
      <w:suff w:val="nothing"/>
      <w:lvlText w:val="%1、"/>
      <w:lvlJc w:val="left"/>
    </w:lvl>
  </w:abstractNum>
  <w:abstractNum w:abstractNumId="17">
    <w:nsid w:val="EF951ED6"/>
    <w:multiLevelType w:val="singleLevel"/>
    <w:tmpl w:val="EF951ED6"/>
    <w:lvl w:ilvl="0" w:tentative="0">
      <w:start w:val="1"/>
      <w:numFmt w:val="decimal"/>
      <w:suff w:val="nothing"/>
      <w:lvlText w:val="%1、"/>
      <w:lvlJc w:val="left"/>
    </w:lvl>
  </w:abstractNum>
  <w:abstractNum w:abstractNumId="18">
    <w:nsid w:val="EFDC2663"/>
    <w:multiLevelType w:val="singleLevel"/>
    <w:tmpl w:val="EFDC2663"/>
    <w:lvl w:ilvl="0" w:tentative="0">
      <w:start w:val="1"/>
      <w:numFmt w:val="decimal"/>
      <w:suff w:val="nothing"/>
      <w:lvlText w:val="%1、"/>
      <w:lvlJc w:val="left"/>
    </w:lvl>
  </w:abstractNum>
  <w:abstractNum w:abstractNumId="19">
    <w:nsid w:val="EFF62EAF"/>
    <w:multiLevelType w:val="singleLevel"/>
    <w:tmpl w:val="EFF62EAF"/>
    <w:lvl w:ilvl="0" w:tentative="0">
      <w:start w:val="1"/>
      <w:numFmt w:val="decimal"/>
      <w:suff w:val="nothing"/>
      <w:lvlText w:val="%1、"/>
      <w:lvlJc w:val="left"/>
    </w:lvl>
  </w:abstractNum>
  <w:abstractNum w:abstractNumId="20">
    <w:nsid w:val="FDBF15CD"/>
    <w:multiLevelType w:val="singleLevel"/>
    <w:tmpl w:val="FDBF15CD"/>
    <w:lvl w:ilvl="0" w:tentative="0">
      <w:start w:val="1"/>
      <w:numFmt w:val="decimal"/>
      <w:suff w:val="nothing"/>
      <w:lvlText w:val="%1、"/>
      <w:lvlJc w:val="left"/>
    </w:lvl>
  </w:abstractNum>
  <w:abstractNum w:abstractNumId="21">
    <w:nsid w:val="FEF0D1BF"/>
    <w:multiLevelType w:val="singleLevel"/>
    <w:tmpl w:val="FEF0D1BF"/>
    <w:lvl w:ilvl="0" w:tentative="0">
      <w:start w:val="1"/>
      <w:numFmt w:val="decimal"/>
      <w:suff w:val="nothing"/>
      <w:lvlText w:val="%1、"/>
      <w:lvlJc w:val="left"/>
    </w:lvl>
  </w:abstractNum>
  <w:abstractNum w:abstractNumId="22">
    <w:nsid w:val="FF6FDE4F"/>
    <w:multiLevelType w:val="singleLevel"/>
    <w:tmpl w:val="FF6FDE4F"/>
    <w:lvl w:ilvl="0" w:tentative="0">
      <w:start w:val="1"/>
      <w:numFmt w:val="decimal"/>
      <w:suff w:val="nothing"/>
      <w:lvlText w:val="%1、"/>
      <w:lvlJc w:val="left"/>
    </w:lvl>
  </w:abstractNum>
  <w:abstractNum w:abstractNumId="23">
    <w:nsid w:val="00000004"/>
    <w:multiLevelType w:val="multilevel"/>
    <w:tmpl w:val="00000004"/>
    <w:lvl w:ilvl="0" w:tentative="0">
      <w:start w:val="1"/>
      <w:numFmt w:val="chineseCountingThousand"/>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4"/>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4">
    <w:nsid w:val="005E4AFE"/>
    <w:multiLevelType w:val="singleLevel"/>
    <w:tmpl w:val="005E4AFE"/>
    <w:lvl w:ilvl="0" w:tentative="0">
      <w:start w:val="1"/>
      <w:numFmt w:val="decimal"/>
      <w:suff w:val="nothing"/>
      <w:lvlText w:val="%1、"/>
      <w:lvlJc w:val="left"/>
    </w:lvl>
  </w:abstractNum>
  <w:abstractNum w:abstractNumId="25">
    <w:nsid w:val="09DC7194"/>
    <w:multiLevelType w:val="multilevel"/>
    <w:tmpl w:val="09DC7194"/>
    <w:lvl w:ilvl="0" w:tentative="0">
      <w:start w:val="1"/>
      <w:numFmt w:val="decimal"/>
      <w:pStyle w:val="15"/>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6">
    <w:nsid w:val="14996353"/>
    <w:multiLevelType w:val="singleLevel"/>
    <w:tmpl w:val="14996353"/>
    <w:lvl w:ilvl="0" w:tentative="0">
      <w:start w:val="1"/>
      <w:numFmt w:val="decimal"/>
      <w:suff w:val="nothing"/>
      <w:lvlText w:val="%1、"/>
      <w:lvlJc w:val="left"/>
    </w:lvl>
  </w:abstractNum>
  <w:abstractNum w:abstractNumId="27">
    <w:nsid w:val="14C90C08"/>
    <w:multiLevelType w:val="multilevel"/>
    <w:tmpl w:val="14C90C08"/>
    <w:lvl w:ilvl="0" w:tentative="0">
      <w:start w:val="1"/>
      <w:numFmt w:val="decimal"/>
      <w:lvlText w:val="4.%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14D45042"/>
    <w:multiLevelType w:val="singleLevel"/>
    <w:tmpl w:val="14D45042"/>
    <w:lvl w:ilvl="0" w:tentative="0">
      <w:start w:val="1"/>
      <w:numFmt w:val="decimal"/>
      <w:suff w:val="nothing"/>
      <w:lvlText w:val="%1、"/>
      <w:lvlJc w:val="left"/>
    </w:lvl>
  </w:abstractNum>
  <w:abstractNum w:abstractNumId="29">
    <w:nsid w:val="28057DB0"/>
    <w:multiLevelType w:val="singleLevel"/>
    <w:tmpl w:val="28057DB0"/>
    <w:lvl w:ilvl="0" w:tentative="0">
      <w:start w:val="1"/>
      <w:numFmt w:val="decimal"/>
      <w:suff w:val="nothing"/>
      <w:lvlText w:val="%1、"/>
      <w:lvlJc w:val="left"/>
    </w:lvl>
  </w:abstractNum>
  <w:abstractNum w:abstractNumId="30">
    <w:nsid w:val="292D51A1"/>
    <w:multiLevelType w:val="singleLevel"/>
    <w:tmpl w:val="292D51A1"/>
    <w:lvl w:ilvl="0" w:tentative="0">
      <w:start w:val="1"/>
      <w:numFmt w:val="decimal"/>
      <w:suff w:val="nothing"/>
      <w:lvlText w:val="%1、"/>
      <w:lvlJc w:val="left"/>
    </w:lvl>
  </w:abstractNum>
  <w:abstractNum w:abstractNumId="31">
    <w:nsid w:val="292D66C5"/>
    <w:multiLevelType w:val="singleLevel"/>
    <w:tmpl w:val="292D66C5"/>
    <w:lvl w:ilvl="0" w:tentative="0">
      <w:start w:val="1"/>
      <w:numFmt w:val="decimal"/>
      <w:suff w:val="nothing"/>
      <w:lvlText w:val="%1、"/>
      <w:lvlJc w:val="left"/>
    </w:lvl>
  </w:abstractNum>
  <w:abstractNum w:abstractNumId="32">
    <w:nsid w:val="2CC0DE17"/>
    <w:multiLevelType w:val="singleLevel"/>
    <w:tmpl w:val="2CC0DE17"/>
    <w:lvl w:ilvl="0" w:tentative="0">
      <w:start w:val="1"/>
      <w:numFmt w:val="decimal"/>
      <w:suff w:val="nothing"/>
      <w:lvlText w:val="%1、"/>
      <w:lvlJc w:val="left"/>
    </w:lvl>
  </w:abstractNum>
  <w:abstractNum w:abstractNumId="33">
    <w:nsid w:val="2E4831B4"/>
    <w:multiLevelType w:val="singleLevel"/>
    <w:tmpl w:val="2E4831B4"/>
    <w:lvl w:ilvl="0" w:tentative="0">
      <w:start w:val="1"/>
      <w:numFmt w:val="decimal"/>
      <w:suff w:val="nothing"/>
      <w:lvlText w:val="%1、"/>
      <w:lvlJc w:val="left"/>
    </w:lvl>
  </w:abstractNum>
  <w:abstractNum w:abstractNumId="34">
    <w:nsid w:val="2EF94D39"/>
    <w:multiLevelType w:val="singleLevel"/>
    <w:tmpl w:val="2EF94D39"/>
    <w:lvl w:ilvl="0" w:tentative="0">
      <w:start w:val="1"/>
      <w:numFmt w:val="decimal"/>
      <w:suff w:val="nothing"/>
      <w:lvlText w:val="%1、"/>
      <w:lvlJc w:val="left"/>
    </w:lvl>
  </w:abstractNum>
  <w:abstractNum w:abstractNumId="35">
    <w:nsid w:val="33655ED8"/>
    <w:multiLevelType w:val="singleLevel"/>
    <w:tmpl w:val="33655ED8"/>
    <w:lvl w:ilvl="0" w:tentative="0">
      <w:start w:val="1"/>
      <w:numFmt w:val="decimal"/>
      <w:suff w:val="nothing"/>
      <w:lvlText w:val="%1、"/>
      <w:lvlJc w:val="left"/>
    </w:lvl>
  </w:abstractNum>
  <w:abstractNum w:abstractNumId="36">
    <w:nsid w:val="3C4F5472"/>
    <w:multiLevelType w:val="singleLevel"/>
    <w:tmpl w:val="3C4F5472"/>
    <w:lvl w:ilvl="0" w:tentative="0">
      <w:start w:val="1"/>
      <w:numFmt w:val="decimal"/>
      <w:suff w:val="nothing"/>
      <w:lvlText w:val="%1、"/>
      <w:lvlJc w:val="left"/>
    </w:lvl>
  </w:abstractNum>
  <w:abstractNum w:abstractNumId="37">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3E730690"/>
    <w:multiLevelType w:val="singleLevel"/>
    <w:tmpl w:val="3E730690"/>
    <w:lvl w:ilvl="0" w:tentative="0">
      <w:start w:val="1"/>
      <w:numFmt w:val="decimal"/>
      <w:suff w:val="nothing"/>
      <w:lvlText w:val="%1、"/>
      <w:lvlJc w:val="left"/>
    </w:lvl>
  </w:abstractNum>
  <w:abstractNum w:abstractNumId="39">
    <w:nsid w:val="3E7D0243"/>
    <w:multiLevelType w:val="singleLevel"/>
    <w:tmpl w:val="3E7D0243"/>
    <w:lvl w:ilvl="0" w:tentative="0">
      <w:start w:val="1"/>
      <w:numFmt w:val="decimal"/>
      <w:suff w:val="nothing"/>
      <w:lvlText w:val="%1、"/>
      <w:lvlJc w:val="left"/>
    </w:lvl>
  </w:abstractNum>
  <w:abstractNum w:abstractNumId="40">
    <w:nsid w:val="44635F63"/>
    <w:multiLevelType w:val="singleLevel"/>
    <w:tmpl w:val="44635F63"/>
    <w:lvl w:ilvl="0" w:tentative="0">
      <w:start w:val="1"/>
      <w:numFmt w:val="decimal"/>
      <w:suff w:val="nothing"/>
      <w:lvlText w:val="%1、"/>
      <w:lvlJc w:val="left"/>
    </w:lvl>
  </w:abstractNum>
  <w:abstractNum w:abstractNumId="41">
    <w:nsid w:val="44E9614E"/>
    <w:multiLevelType w:val="singleLevel"/>
    <w:tmpl w:val="44E9614E"/>
    <w:lvl w:ilvl="0" w:tentative="0">
      <w:start w:val="1"/>
      <w:numFmt w:val="decimal"/>
      <w:suff w:val="nothing"/>
      <w:lvlText w:val="%1、"/>
      <w:lvlJc w:val="left"/>
    </w:lvl>
  </w:abstractNum>
  <w:abstractNum w:abstractNumId="42">
    <w:nsid w:val="479B4C17"/>
    <w:multiLevelType w:val="singleLevel"/>
    <w:tmpl w:val="479B4C17"/>
    <w:lvl w:ilvl="0" w:tentative="0">
      <w:start w:val="1"/>
      <w:numFmt w:val="decimal"/>
      <w:suff w:val="nothing"/>
      <w:lvlText w:val="%1、"/>
      <w:lvlJc w:val="left"/>
    </w:lvl>
  </w:abstractNum>
  <w:abstractNum w:abstractNumId="43">
    <w:nsid w:val="4BB17C85"/>
    <w:multiLevelType w:val="singleLevel"/>
    <w:tmpl w:val="4BB17C85"/>
    <w:lvl w:ilvl="0" w:tentative="0">
      <w:start w:val="1"/>
      <w:numFmt w:val="decimal"/>
      <w:suff w:val="nothing"/>
      <w:lvlText w:val="%1、"/>
      <w:lvlJc w:val="left"/>
    </w:lvl>
  </w:abstractNum>
  <w:abstractNum w:abstractNumId="44">
    <w:nsid w:val="55D10560"/>
    <w:multiLevelType w:val="multilevel"/>
    <w:tmpl w:val="55D105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B273813"/>
    <w:multiLevelType w:val="multilevel"/>
    <w:tmpl w:val="5B2738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D4B5BA0"/>
    <w:multiLevelType w:val="singleLevel"/>
    <w:tmpl w:val="5D4B5BA0"/>
    <w:lvl w:ilvl="0" w:tentative="0">
      <w:start w:val="1"/>
      <w:numFmt w:val="decimal"/>
      <w:suff w:val="nothing"/>
      <w:lvlText w:val="%1、"/>
      <w:lvlJc w:val="left"/>
    </w:lvl>
  </w:abstractNum>
  <w:abstractNum w:abstractNumId="47">
    <w:nsid w:val="5DCA5B7E"/>
    <w:multiLevelType w:val="singleLevel"/>
    <w:tmpl w:val="5DCA5B7E"/>
    <w:lvl w:ilvl="0" w:tentative="0">
      <w:start w:val="1"/>
      <w:numFmt w:val="decimal"/>
      <w:suff w:val="nothing"/>
      <w:lvlText w:val="%1、"/>
      <w:lvlJc w:val="left"/>
    </w:lvl>
  </w:abstractNum>
  <w:abstractNum w:abstractNumId="48">
    <w:nsid w:val="5EE9622D"/>
    <w:multiLevelType w:val="singleLevel"/>
    <w:tmpl w:val="5EE9622D"/>
    <w:lvl w:ilvl="0" w:tentative="0">
      <w:start w:val="1"/>
      <w:numFmt w:val="decimal"/>
      <w:suff w:val="nothing"/>
      <w:lvlText w:val="%1、"/>
      <w:lvlJc w:val="left"/>
    </w:lvl>
  </w:abstractNum>
  <w:abstractNum w:abstractNumId="49">
    <w:nsid w:val="603D5414"/>
    <w:multiLevelType w:val="singleLevel"/>
    <w:tmpl w:val="603D5414"/>
    <w:lvl w:ilvl="0" w:tentative="0">
      <w:start w:val="1"/>
      <w:numFmt w:val="decimal"/>
      <w:suff w:val="nothing"/>
      <w:lvlText w:val="%1、"/>
      <w:lvlJc w:val="left"/>
    </w:lvl>
  </w:abstractNum>
  <w:abstractNum w:abstractNumId="50">
    <w:nsid w:val="609F7C28"/>
    <w:multiLevelType w:val="singleLevel"/>
    <w:tmpl w:val="609F7C28"/>
    <w:lvl w:ilvl="0" w:tentative="0">
      <w:start w:val="1"/>
      <w:numFmt w:val="decimal"/>
      <w:suff w:val="nothing"/>
      <w:lvlText w:val="%1、"/>
      <w:lvlJc w:val="left"/>
    </w:lvl>
  </w:abstractNum>
  <w:abstractNum w:abstractNumId="51">
    <w:nsid w:val="61503CC3"/>
    <w:multiLevelType w:val="singleLevel"/>
    <w:tmpl w:val="61503CC3"/>
    <w:lvl w:ilvl="0" w:tentative="0">
      <w:start w:val="1"/>
      <w:numFmt w:val="decimal"/>
      <w:suff w:val="nothing"/>
      <w:lvlText w:val="%1、"/>
      <w:lvlJc w:val="left"/>
    </w:lvl>
  </w:abstractNum>
  <w:abstractNum w:abstractNumId="52">
    <w:nsid w:val="656D6133"/>
    <w:multiLevelType w:val="multilevel"/>
    <w:tmpl w:val="656D6133"/>
    <w:lvl w:ilvl="0" w:tentative="0">
      <w:start w:val="1"/>
      <w:numFmt w:val="chineseCountingThousand"/>
      <w:pStyle w:val="2"/>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3">
    <w:nsid w:val="66B2044F"/>
    <w:multiLevelType w:val="singleLevel"/>
    <w:tmpl w:val="66B2044F"/>
    <w:lvl w:ilvl="0" w:tentative="0">
      <w:start w:val="1"/>
      <w:numFmt w:val="decimal"/>
      <w:suff w:val="nothing"/>
      <w:lvlText w:val="%1、"/>
      <w:lvlJc w:val="left"/>
    </w:lvl>
  </w:abstractNum>
  <w:abstractNum w:abstractNumId="54">
    <w:nsid w:val="6E866BC5"/>
    <w:multiLevelType w:val="singleLevel"/>
    <w:tmpl w:val="6E866BC5"/>
    <w:lvl w:ilvl="0" w:tentative="0">
      <w:start w:val="1"/>
      <w:numFmt w:val="decimal"/>
      <w:suff w:val="nothing"/>
      <w:lvlText w:val="%1、"/>
      <w:lvlJc w:val="left"/>
    </w:lvl>
  </w:abstractNum>
  <w:abstractNum w:abstractNumId="55">
    <w:nsid w:val="710D6243"/>
    <w:multiLevelType w:val="singleLevel"/>
    <w:tmpl w:val="710D6243"/>
    <w:lvl w:ilvl="0" w:tentative="0">
      <w:start w:val="1"/>
      <w:numFmt w:val="decimal"/>
      <w:suff w:val="nothing"/>
      <w:lvlText w:val="%1、"/>
      <w:lvlJc w:val="left"/>
    </w:lvl>
  </w:abstractNum>
  <w:abstractNum w:abstractNumId="56">
    <w:nsid w:val="75701301"/>
    <w:multiLevelType w:val="singleLevel"/>
    <w:tmpl w:val="75701301"/>
    <w:lvl w:ilvl="0" w:tentative="0">
      <w:start w:val="1"/>
      <w:numFmt w:val="decimal"/>
      <w:suff w:val="nothing"/>
      <w:lvlText w:val="%1、"/>
      <w:lvlJc w:val="left"/>
    </w:lvl>
  </w:abstractNum>
  <w:abstractNum w:abstractNumId="57">
    <w:nsid w:val="7BA5A5F6"/>
    <w:multiLevelType w:val="singleLevel"/>
    <w:tmpl w:val="7BA5A5F6"/>
    <w:lvl w:ilvl="0" w:tentative="0">
      <w:start w:val="1"/>
      <w:numFmt w:val="decimal"/>
      <w:suff w:val="nothing"/>
      <w:lvlText w:val="%1、"/>
      <w:lvlJc w:val="left"/>
    </w:lvl>
  </w:abstractNum>
  <w:num w:numId="1">
    <w:abstractNumId w:val="52"/>
  </w:num>
  <w:num w:numId="2">
    <w:abstractNumId w:val="23"/>
  </w:num>
  <w:num w:numId="3">
    <w:abstractNumId w:val="25"/>
  </w:num>
  <w:num w:numId="4">
    <w:abstractNumId w:val="27"/>
  </w:num>
  <w:num w:numId="5">
    <w:abstractNumId w:val="10"/>
  </w:num>
  <w:num w:numId="6">
    <w:abstractNumId w:val="4"/>
  </w:num>
  <w:num w:numId="7">
    <w:abstractNumId w:val="15"/>
  </w:num>
  <w:num w:numId="8">
    <w:abstractNumId w:val="12"/>
  </w:num>
  <w:num w:numId="9">
    <w:abstractNumId w:val="57"/>
  </w:num>
  <w:num w:numId="10">
    <w:abstractNumId w:val="53"/>
  </w:num>
  <w:num w:numId="11">
    <w:abstractNumId w:val="46"/>
  </w:num>
  <w:num w:numId="12">
    <w:abstractNumId w:val="5"/>
  </w:num>
  <w:num w:numId="13">
    <w:abstractNumId w:val="6"/>
  </w:num>
  <w:num w:numId="14">
    <w:abstractNumId w:val="22"/>
  </w:num>
  <w:num w:numId="15">
    <w:abstractNumId w:val="7"/>
  </w:num>
  <w:num w:numId="16">
    <w:abstractNumId w:val="40"/>
  </w:num>
  <w:num w:numId="17">
    <w:abstractNumId w:val="0"/>
  </w:num>
  <w:num w:numId="18">
    <w:abstractNumId w:val="21"/>
  </w:num>
  <w:num w:numId="19">
    <w:abstractNumId w:val="13"/>
  </w:num>
  <w:num w:numId="20">
    <w:abstractNumId w:val="32"/>
  </w:num>
  <w:num w:numId="21">
    <w:abstractNumId w:val="17"/>
  </w:num>
  <w:num w:numId="22">
    <w:abstractNumId w:val="20"/>
  </w:num>
  <w:num w:numId="23">
    <w:abstractNumId w:val="51"/>
  </w:num>
  <w:num w:numId="24">
    <w:abstractNumId w:val="8"/>
  </w:num>
  <w:num w:numId="25">
    <w:abstractNumId w:val="1"/>
  </w:num>
  <w:num w:numId="26">
    <w:abstractNumId w:val="19"/>
  </w:num>
  <w:num w:numId="27">
    <w:abstractNumId w:val="9"/>
  </w:num>
  <w:num w:numId="28">
    <w:abstractNumId w:val="14"/>
  </w:num>
  <w:num w:numId="29">
    <w:abstractNumId w:val="18"/>
  </w:num>
  <w:num w:numId="30">
    <w:abstractNumId w:val="2"/>
  </w:num>
  <w:num w:numId="31">
    <w:abstractNumId w:val="16"/>
  </w:num>
  <w:num w:numId="32">
    <w:abstractNumId w:val="3"/>
  </w:num>
  <w:num w:numId="33">
    <w:abstractNumId w:val="11"/>
  </w:num>
  <w:num w:numId="34">
    <w:abstractNumId w:val="26"/>
  </w:num>
  <w:num w:numId="35">
    <w:abstractNumId w:val="31"/>
  </w:num>
  <w:num w:numId="36">
    <w:abstractNumId w:val="54"/>
  </w:num>
  <w:num w:numId="37">
    <w:abstractNumId w:val="29"/>
  </w:num>
  <w:num w:numId="38">
    <w:abstractNumId w:val="33"/>
  </w:num>
  <w:num w:numId="39">
    <w:abstractNumId w:val="56"/>
  </w:num>
  <w:num w:numId="40">
    <w:abstractNumId w:val="35"/>
  </w:num>
  <w:num w:numId="41">
    <w:abstractNumId w:val="44"/>
  </w:num>
  <w:num w:numId="42">
    <w:abstractNumId w:val="45"/>
  </w:num>
  <w:num w:numId="43">
    <w:abstractNumId w:val="34"/>
  </w:num>
  <w:num w:numId="44">
    <w:abstractNumId w:val="41"/>
  </w:num>
  <w:num w:numId="45">
    <w:abstractNumId w:val="38"/>
  </w:num>
  <w:num w:numId="46">
    <w:abstractNumId w:val="50"/>
  </w:num>
  <w:num w:numId="47">
    <w:abstractNumId w:val="55"/>
  </w:num>
  <w:num w:numId="48">
    <w:abstractNumId w:val="47"/>
  </w:num>
  <w:num w:numId="49">
    <w:abstractNumId w:val="43"/>
  </w:num>
  <w:num w:numId="50">
    <w:abstractNumId w:val="39"/>
  </w:num>
  <w:num w:numId="51">
    <w:abstractNumId w:val="24"/>
  </w:num>
  <w:num w:numId="52">
    <w:abstractNumId w:val="36"/>
  </w:num>
  <w:num w:numId="53">
    <w:abstractNumId w:val="48"/>
  </w:num>
  <w:num w:numId="54">
    <w:abstractNumId w:val="28"/>
  </w:num>
  <w:num w:numId="55">
    <w:abstractNumId w:val="30"/>
  </w:num>
  <w:num w:numId="56">
    <w:abstractNumId w:val="42"/>
  </w:num>
  <w:num w:numId="57">
    <w:abstractNumId w:val="49"/>
  </w:num>
  <w:num w:numId="58">
    <w:abstractNumId w:val="3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mNmZmE3MzAyNDFlZWY2ZjVhZTNiZTkwMWI5ZmMifQ=="/>
  </w:docVars>
  <w:rsids>
    <w:rsidRoot w:val="26A40C5B"/>
    <w:rsid w:val="000A5BA0"/>
    <w:rsid w:val="00175E00"/>
    <w:rsid w:val="002E5AAE"/>
    <w:rsid w:val="005C2FCF"/>
    <w:rsid w:val="005C56E8"/>
    <w:rsid w:val="008D237D"/>
    <w:rsid w:val="00A947E4"/>
    <w:rsid w:val="00BB52C2"/>
    <w:rsid w:val="00CE2C73"/>
    <w:rsid w:val="00E20EC8"/>
    <w:rsid w:val="00FE506D"/>
    <w:rsid w:val="05561E2E"/>
    <w:rsid w:val="062F3DF0"/>
    <w:rsid w:val="0937562C"/>
    <w:rsid w:val="0AC65D0B"/>
    <w:rsid w:val="0C891F60"/>
    <w:rsid w:val="1A5F12AA"/>
    <w:rsid w:val="1ADC5C4A"/>
    <w:rsid w:val="1B914462"/>
    <w:rsid w:val="1BCC7D2A"/>
    <w:rsid w:val="1D1638CF"/>
    <w:rsid w:val="1D74304F"/>
    <w:rsid w:val="22757771"/>
    <w:rsid w:val="248D2E59"/>
    <w:rsid w:val="26A40C5B"/>
    <w:rsid w:val="2B6178DE"/>
    <w:rsid w:val="2BA56CDA"/>
    <w:rsid w:val="329F054E"/>
    <w:rsid w:val="34407703"/>
    <w:rsid w:val="36F270AE"/>
    <w:rsid w:val="3A836F22"/>
    <w:rsid w:val="3DE35D66"/>
    <w:rsid w:val="422624CB"/>
    <w:rsid w:val="481F6154"/>
    <w:rsid w:val="49F83516"/>
    <w:rsid w:val="4B1F21AD"/>
    <w:rsid w:val="4F285398"/>
    <w:rsid w:val="4F53087D"/>
    <w:rsid w:val="516B0122"/>
    <w:rsid w:val="53B970C0"/>
    <w:rsid w:val="541E135D"/>
    <w:rsid w:val="57CA40BE"/>
    <w:rsid w:val="57CC4F2E"/>
    <w:rsid w:val="59247E49"/>
    <w:rsid w:val="5A4C2699"/>
    <w:rsid w:val="5B112681"/>
    <w:rsid w:val="5C2E060F"/>
    <w:rsid w:val="5E8E6FD6"/>
    <w:rsid w:val="5EE51C82"/>
    <w:rsid w:val="60EF70AD"/>
    <w:rsid w:val="627611D1"/>
    <w:rsid w:val="62FE0977"/>
    <w:rsid w:val="635108EB"/>
    <w:rsid w:val="66EA41E8"/>
    <w:rsid w:val="69603CEA"/>
    <w:rsid w:val="6AF2123E"/>
    <w:rsid w:val="6B276C67"/>
    <w:rsid w:val="6D772A28"/>
    <w:rsid w:val="6FEC20A5"/>
    <w:rsid w:val="71E85518"/>
    <w:rsid w:val="72C2329A"/>
    <w:rsid w:val="74AD4B8B"/>
    <w:rsid w:val="77B43362"/>
    <w:rsid w:val="78C80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4">
    <w:name w:val="heading 3"/>
    <w:basedOn w:val="1"/>
    <w:next w:val="1"/>
    <w:qFormat/>
    <w:uiPriority w:val="0"/>
    <w:pPr>
      <w:keepNext/>
      <w:keepLines/>
      <w:numPr>
        <w:ilvl w:val="2"/>
        <w:numId w:val="2"/>
      </w:numPr>
      <w:adjustRightInd w:val="0"/>
      <w:spacing w:before="260" w:after="260" w:line="416" w:lineRule="atLeast"/>
      <w:jc w:val="left"/>
      <w:outlineLvl w:val="2"/>
    </w:pPr>
    <w:rPr>
      <w:b/>
      <w:bCs/>
      <w:kern w:val="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customStyle="1" w:styleId="6">
    <w:name w:val="一级条标题"/>
    <w:basedOn w:val="7"/>
    <w:next w:val="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styleId="8">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9">
    <w:name w:val="Body Text First Indent"/>
    <w:basedOn w:val="5"/>
    <w:qFormat/>
    <w:uiPriority w:val="0"/>
    <w:pPr>
      <w:ind w:firstLine="420" w:firstLineChars="100"/>
    </w:pPr>
    <w:rPr>
      <w:rFonts w:eastAsia="仿宋_GB2312"/>
      <w:szCs w:val="20"/>
    </w:rPr>
  </w:style>
  <w:style w:type="character" w:styleId="12">
    <w:name w:val="page number"/>
    <w:qFormat/>
    <w:uiPriority w:val="0"/>
  </w:style>
  <w:style w:type="paragraph" w:customStyle="1" w:styleId="13">
    <w:name w:val="段"/>
    <w:basedOn w:val="1"/>
    <w:next w:val="1"/>
    <w:qFormat/>
    <w:uiPriority w:val="0"/>
    <w:pPr>
      <w:widowControl/>
      <w:autoSpaceDE w:val="0"/>
      <w:autoSpaceDN w:val="0"/>
      <w:ind w:firstLine="200" w:firstLineChars="200"/>
    </w:pPr>
    <w:rPr>
      <w:rFonts w:hint="eastAsia" w:ascii="宋体"/>
      <w:kern w:val="0"/>
      <w:szCs w:val="20"/>
    </w:rPr>
  </w:style>
  <w:style w:type="paragraph" w:customStyle="1" w:styleId="14">
    <w:name w:val="样式 标题 1 + 四号 居中 段前: 12 磅 段后: 12 磅 行距: 单倍行距"/>
    <w:basedOn w:val="2"/>
    <w:qFormat/>
    <w:uiPriority w:val="0"/>
    <w:pPr>
      <w:spacing w:before="240" w:after="240" w:line="240" w:lineRule="auto"/>
      <w:jc w:val="center"/>
    </w:pPr>
    <w:rPr>
      <w:sz w:val="28"/>
      <w:szCs w:val="20"/>
    </w:rPr>
  </w:style>
  <w:style w:type="paragraph" w:customStyle="1" w:styleId="15">
    <w:name w:val="样式1"/>
    <w:basedOn w:val="1"/>
    <w:qFormat/>
    <w:uiPriority w:val="0"/>
    <w:pPr>
      <w:numPr>
        <w:ilvl w:val="0"/>
        <w:numId w:val="3"/>
      </w:numPr>
      <w:adjustRightInd w:val="0"/>
    </w:pPr>
    <w:rPr>
      <w:rFonts w:ascii="宋体" w:hAnsi="宋体"/>
      <w:kern w:val="0"/>
      <w:szCs w:val="21"/>
    </w:rPr>
  </w:style>
  <w:style w:type="character" w:customStyle="1" w:styleId="16">
    <w:name w:val="font21"/>
    <w:qFormat/>
    <w:uiPriority w:val="0"/>
    <w:rPr>
      <w:rFonts w:hint="eastAsia" w:ascii="宋体" w:hAnsi="宋体" w:eastAsia="宋体" w:cs="宋体"/>
      <w:b/>
      <w:bCs/>
      <w:color w:val="000000"/>
      <w:sz w:val="24"/>
      <w:szCs w:val="24"/>
      <w:u w:val="single"/>
    </w:rPr>
  </w:style>
  <w:style w:type="character" w:customStyle="1" w:styleId="17">
    <w:name w:val="font31"/>
    <w:qFormat/>
    <w:uiPriority w:val="0"/>
    <w:rPr>
      <w:rFonts w:hint="eastAsia" w:ascii="宋体" w:hAnsi="宋体" w:eastAsia="宋体" w:cs="宋体"/>
      <w:b/>
      <w:bCs/>
      <w:color w:val="000000"/>
      <w:sz w:val="24"/>
      <w:szCs w:val="24"/>
      <w:u w:val="none"/>
    </w:rPr>
  </w:style>
  <w:style w:type="paragraph" w:customStyle="1" w:styleId="18">
    <w:name w:val="样式 宋体 五号 两端对齐 行距: 单倍行距"/>
    <w:basedOn w:val="1"/>
    <w:qFormat/>
    <w:uiPriority w:val="0"/>
    <w:pPr>
      <w:adjustRightInd w:val="0"/>
    </w:pPr>
    <w:rPr>
      <w:rFonts w:ascii="宋体" w:hAnsi="宋体"/>
      <w:kern w:val="0"/>
      <w:szCs w:val="20"/>
    </w:rPr>
  </w:style>
  <w:style w:type="paragraph" w:customStyle="1" w:styleId="19">
    <w:name w:val="_Style 83"/>
    <w:basedOn w:val="5"/>
    <w:next w:val="9"/>
    <w:qFormat/>
    <w:uiPriority w:val="0"/>
    <w:pPr>
      <w:ind w:firstLine="420" w:firstLineChars="100"/>
    </w:pPr>
    <w:rPr>
      <w:rFonts w:eastAsia="仿宋_GB2312"/>
      <w:szCs w:val="20"/>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3344</Words>
  <Characters>19066</Characters>
  <Lines>158</Lines>
  <Paragraphs>44</Paragraphs>
  <TotalTime>9</TotalTime>
  <ScaleCrop>false</ScaleCrop>
  <LinksUpToDate>false</LinksUpToDate>
  <CharactersWithSpaces>22366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2022-03-29T07:16:00Z</dcterms:created>
  <dc:creator>admin</dc:creator>
  <cp:lastModifiedBy>白亮宇</cp:lastModifiedBy>
  <dcterms:modified xsi:type="dcterms:W3CDTF">2023-08-17T08:54:39Z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BE7F288256744879B007F9C1CF38B6D3_13</vt:lpwstr>
  </property>
</Properties>
</file>