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潘安湖校区新能源汽车充电桩建设及运营服务项目</w:t>
      </w:r>
    </w:p>
    <w:p>
      <w:pPr>
        <w:spacing w:line="500" w:lineRule="exact"/>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w:t>
      </w:r>
      <w:r>
        <w:rPr>
          <w:rFonts w:hint="eastAsia" w:ascii="仿宋" w:hAnsi="仿宋" w:eastAsia="仿宋" w:cs="仿宋"/>
          <w:sz w:val="32"/>
          <w:szCs w:val="32"/>
        </w:rPr>
        <w:t>2023F0308</w:t>
      </w:r>
      <w:r>
        <w:rPr>
          <w:rFonts w:hint="eastAsia" w:ascii="宋体" w:hAnsi="宋体"/>
          <w:b/>
          <w:sz w:val="32"/>
          <w:szCs w:val="52"/>
          <w14:shadow w14:blurRad="50800" w14:dist="38100" w14:dir="2700000" w14:sx="100000" w14:sy="100000" w14:kx="0" w14:ky="0" w14:algn="tl">
            <w14:srgbClr w14:val="000000">
              <w14:alpha w14:val="60000"/>
            </w14:srgbClr>
          </w14:shadow>
        </w:rPr>
        <w:t>）</w:t>
      </w: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14:shadow w14:blurRad="50800" w14:dist="38100" w14:dir="2700000" w14:sx="100000" w14:sy="100000" w14:kx="0" w14:ky="0" w14:algn="tl">
            <w14:srgbClr w14:val="000000">
              <w14:alpha w14:val="60000"/>
            </w14:srgbClr>
          </w14:shadow>
        </w:rPr>
        <w:t>3年7月</w:t>
      </w:r>
      <w:r>
        <w:rPr>
          <w:rFonts w:hint="eastAsia" w:ascii="宋体" w:hAnsi="宋体"/>
          <w:sz w:val="32"/>
          <w:lang w:val="en-US" w:eastAsia="zh-CN"/>
          <w14:shadow w14:blurRad="50800" w14:dist="38100" w14:dir="2700000" w14:sx="100000" w14:sy="100000" w14:kx="0" w14:ky="0" w14:algn="tl">
            <w14:srgbClr w14:val="000000">
              <w14:alpha w14:val="60000"/>
            </w14:srgbClr>
          </w14:shadow>
        </w:rPr>
        <w:t>31</w:t>
      </w:r>
      <w:r>
        <w:rPr>
          <w:rFonts w:hint="eastAsia" w:ascii="宋体" w:hAnsi="宋体"/>
          <w:sz w:val="32"/>
          <w14:shadow w14:blurRad="50800" w14:dist="38100" w14:dir="2700000" w14:sx="100000" w14:sy="100000" w14:kx="0" w14:ky="0" w14:algn="tl">
            <w14:srgbClr w14:val="000000">
              <w14:alpha w14:val="60000"/>
            </w14:srgbClr>
          </w14:shadow>
        </w:rPr>
        <w:t>日</w:t>
      </w:r>
    </w:p>
    <w:p>
      <w:pPr>
        <w:pStyle w:val="18"/>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pPr>
        <w:pStyle w:val="19"/>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pPr>
        <w:pStyle w:val="19"/>
        <w:numPr>
          <w:ilvl w:val="0"/>
          <w:numId w:val="0"/>
        </w:numPr>
        <w:ind w:firstLine="472" w:firstLineChars="196"/>
        <w:rPr>
          <w:b/>
          <w:sz w:val="24"/>
          <w:szCs w:val="24"/>
        </w:rPr>
      </w:pPr>
      <w:r>
        <w:rPr>
          <w:rFonts w:hint="eastAsia"/>
          <w:b/>
          <w:sz w:val="24"/>
          <w:szCs w:val="24"/>
        </w:rPr>
        <w:t>2.磋商文件的澄清</w:t>
      </w:r>
    </w:p>
    <w:p>
      <w:pPr>
        <w:pStyle w:val="19"/>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pPr>
        <w:pStyle w:val="19"/>
        <w:numPr>
          <w:ilvl w:val="0"/>
          <w:numId w:val="0"/>
        </w:numPr>
        <w:ind w:firstLine="472" w:firstLineChars="196"/>
        <w:rPr>
          <w:b/>
          <w:sz w:val="24"/>
          <w:szCs w:val="24"/>
        </w:rPr>
      </w:pPr>
      <w:r>
        <w:rPr>
          <w:rFonts w:hint="eastAsia"/>
          <w:b/>
          <w:sz w:val="24"/>
          <w:szCs w:val="24"/>
        </w:rPr>
        <w:t>3.磋商文件的修改</w:t>
      </w:r>
    </w:p>
    <w:p>
      <w:pPr>
        <w:pStyle w:val="19"/>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pPr>
        <w:pStyle w:val="19"/>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pPr>
        <w:pStyle w:val="19"/>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pPr>
        <w:pStyle w:val="19"/>
        <w:numPr>
          <w:ilvl w:val="0"/>
          <w:numId w:val="0"/>
        </w:numPr>
        <w:ind w:firstLine="472" w:firstLineChars="196"/>
        <w:rPr>
          <w:b/>
          <w:sz w:val="24"/>
          <w:szCs w:val="24"/>
        </w:rPr>
      </w:pPr>
      <w:r>
        <w:rPr>
          <w:rFonts w:hint="eastAsia"/>
          <w:b/>
          <w:sz w:val="24"/>
          <w:szCs w:val="24"/>
        </w:rPr>
        <w:t>4. 通知</w:t>
      </w:r>
    </w:p>
    <w:p>
      <w:pPr>
        <w:pStyle w:val="19"/>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pPr>
        <w:pStyle w:val="19"/>
        <w:numPr>
          <w:ilvl w:val="0"/>
          <w:numId w:val="0"/>
        </w:numPr>
        <w:ind w:firstLine="482" w:firstLineChars="200"/>
        <w:rPr>
          <w:b/>
          <w:sz w:val="24"/>
          <w:szCs w:val="24"/>
        </w:rPr>
      </w:pPr>
      <w:r>
        <w:rPr>
          <w:b/>
          <w:sz w:val="24"/>
          <w:szCs w:val="24"/>
        </w:rPr>
        <w:t>5.</w:t>
      </w:r>
      <w:r>
        <w:rPr>
          <w:rFonts w:hint="eastAsia"/>
          <w:b/>
          <w:sz w:val="24"/>
          <w:szCs w:val="24"/>
        </w:rPr>
        <w:t>投标人资格条件</w:t>
      </w:r>
    </w:p>
    <w:p>
      <w:pPr>
        <w:spacing w:line="280" w:lineRule="exact"/>
        <w:ind w:firstLine="480" w:firstLineChars="200"/>
        <w:rPr>
          <w:rFonts w:ascii="宋体" w:hAnsi="宋体"/>
          <w:sz w:val="24"/>
        </w:rPr>
      </w:pPr>
      <w:r>
        <w:rPr>
          <w:rFonts w:hint="eastAsia" w:ascii="宋体" w:hAnsi="宋体"/>
          <w:sz w:val="24"/>
        </w:rPr>
        <w:t>1）具有独立承担民事责任的能力；</w:t>
      </w:r>
    </w:p>
    <w:p>
      <w:pPr>
        <w:spacing w:line="280" w:lineRule="exact"/>
        <w:ind w:firstLine="480" w:firstLineChars="200"/>
        <w:rPr>
          <w:rFonts w:ascii="宋体" w:hAnsi="宋体"/>
          <w:sz w:val="24"/>
        </w:rPr>
      </w:pPr>
      <w:r>
        <w:rPr>
          <w:rFonts w:hint="eastAsia" w:ascii="宋体" w:hAnsi="宋体"/>
          <w:sz w:val="24"/>
        </w:rPr>
        <w:t>2）具有良好的商业信誉和健全的财务会计制度；</w:t>
      </w:r>
    </w:p>
    <w:p>
      <w:pPr>
        <w:spacing w:line="280" w:lineRule="exact"/>
        <w:ind w:firstLine="480" w:firstLineChars="200"/>
        <w:rPr>
          <w:rFonts w:ascii="宋体" w:hAnsi="宋体"/>
          <w:sz w:val="24"/>
        </w:rPr>
      </w:pPr>
      <w:r>
        <w:rPr>
          <w:rFonts w:hint="eastAsia" w:ascii="宋体" w:hAnsi="宋体"/>
          <w:sz w:val="24"/>
        </w:rPr>
        <w:t>3）具有履行合同所必需的设备和专业技术能力；</w:t>
      </w:r>
    </w:p>
    <w:p>
      <w:pPr>
        <w:spacing w:line="280" w:lineRule="exact"/>
        <w:ind w:firstLine="480" w:firstLineChars="200"/>
        <w:rPr>
          <w:rFonts w:ascii="宋体" w:hAnsi="宋体"/>
          <w:sz w:val="24"/>
        </w:rPr>
      </w:pPr>
      <w:r>
        <w:rPr>
          <w:rFonts w:hint="eastAsia" w:ascii="宋体" w:hAnsi="宋体"/>
          <w:sz w:val="24"/>
        </w:rPr>
        <w:t>4）依法缴纳税收和社会保障资金；</w:t>
      </w:r>
    </w:p>
    <w:p>
      <w:pPr>
        <w:spacing w:line="280" w:lineRule="exact"/>
        <w:ind w:firstLine="480" w:firstLineChars="200"/>
        <w:rPr>
          <w:rFonts w:ascii="宋体" w:hAnsi="宋体"/>
          <w:sz w:val="24"/>
        </w:rPr>
      </w:pPr>
      <w:r>
        <w:rPr>
          <w:rFonts w:hint="eastAsia" w:ascii="宋体" w:hAnsi="宋体"/>
          <w:sz w:val="24"/>
        </w:rPr>
        <w:t>5）符合法律、行政法规规定的其他条件；</w:t>
      </w:r>
    </w:p>
    <w:p>
      <w:pPr>
        <w:spacing w:line="280" w:lineRule="exact"/>
        <w:ind w:firstLine="480" w:firstLineChars="200"/>
        <w:rPr>
          <w:rFonts w:ascii="宋体" w:hAnsi="宋体"/>
          <w:sz w:val="24"/>
        </w:rPr>
      </w:pPr>
      <w:r>
        <w:rPr>
          <w:rFonts w:hint="eastAsia" w:ascii="宋体" w:hAnsi="宋体"/>
          <w:sz w:val="24"/>
        </w:rPr>
        <w:t>6）不接受联合体投标；</w:t>
      </w:r>
    </w:p>
    <w:p>
      <w:pPr>
        <w:spacing w:line="280" w:lineRule="exact"/>
        <w:ind w:firstLine="480" w:firstLineChars="200"/>
        <w:rPr>
          <w:rFonts w:ascii="宋体" w:hAnsi="宋体"/>
          <w:sz w:val="24"/>
        </w:rPr>
      </w:pPr>
      <w:r>
        <w:rPr>
          <w:rFonts w:hint="eastAsia" w:ascii="宋体" w:hAnsi="宋体"/>
          <w:sz w:val="24"/>
        </w:rPr>
        <w:t>7）单位负责人为同一人或者存在控股、管理关系的不同单位不得参加同一项目的投标活动。</w:t>
      </w:r>
    </w:p>
    <w:p>
      <w:pPr>
        <w:spacing w:line="280" w:lineRule="exact"/>
        <w:ind w:firstLine="482" w:firstLineChars="200"/>
        <w:rPr>
          <w:rFonts w:hint="default" w:eastAsia="宋体"/>
          <w:lang w:val="en-US" w:eastAsia="zh-CN"/>
        </w:rPr>
      </w:pPr>
      <w:r>
        <w:rPr>
          <w:rFonts w:hint="eastAsia" w:ascii="宋体" w:hAnsi="宋体"/>
          <w:b/>
          <w:bCs/>
          <w:sz w:val="24"/>
        </w:rPr>
        <w:t>6.控制价：</w:t>
      </w:r>
      <w:r>
        <w:rPr>
          <w:rFonts w:hint="eastAsia" w:ascii="宋体" w:hAnsi="宋体"/>
          <w:sz w:val="24"/>
        </w:rPr>
        <w:t>服务费不高于人民币0.</w:t>
      </w:r>
      <w:r>
        <w:rPr>
          <w:rFonts w:hint="eastAsia" w:ascii="宋体" w:hAnsi="宋体"/>
          <w:sz w:val="24"/>
          <w:lang w:val="en-US" w:eastAsia="zh-CN"/>
        </w:rPr>
        <w:t>20</w:t>
      </w:r>
      <w:r>
        <w:rPr>
          <w:rFonts w:hint="eastAsia" w:ascii="宋体" w:hAnsi="宋体"/>
          <w:sz w:val="24"/>
        </w:rPr>
        <w:t>元/</w:t>
      </w:r>
      <w:r>
        <w:rPr>
          <w:rFonts w:hint="eastAsia" w:ascii="宋体" w:hAnsi="宋体"/>
          <w:sz w:val="24"/>
          <w:lang w:val="en-US" w:eastAsia="zh-CN"/>
        </w:rPr>
        <w:t>KW•H（度）</w:t>
      </w:r>
    </w:p>
    <w:p>
      <w:pPr>
        <w:pStyle w:val="18"/>
        <w:numPr>
          <w:ilvl w:val="0"/>
          <w:numId w:val="0"/>
        </w:numPr>
        <w:spacing w:before="0" w:after="0"/>
        <w:ind w:firstLine="482" w:firstLineChars="200"/>
        <w:jc w:val="left"/>
        <w:outlineLvl w:val="9"/>
        <w:rPr>
          <w:rFonts w:ascii="宋体" w:hAnsi="宋体"/>
          <w:bCs w:val="0"/>
          <w:sz w:val="24"/>
        </w:rPr>
      </w:pPr>
      <w:r>
        <w:rPr>
          <w:rFonts w:hint="eastAsia" w:ascii="宋体" w:hAnsi="宋体"/>
          <w:bCs w:val="0"/>
          <w:sz w:val="24"/>
        </w:rPr>
        <w:t>7.项目投资与服务结算方式：</w:t>
      </w:r>
    </w:p>
    <w:p>
      <w:pPr>
        <w:ind w:firstLine="480" w:firstLineChars="200"/>
        <w:rPr>
          <w:rFonts w:ascii="宋体" w:hAnsi="宋体"/>
          <w:bCs/>
          <w:sz w:val="24"/>
        </w:rPr>
      </w:pPr>
      <w:r>
        <w:rPr>
          <w:rFonts w:hint="eastAsia" w:ascii="宋体" w:hAnsi="宋体"/>
          <w:bCs/>
          <w:sz w:val="24"/>
        </w:rPr>
        <w:t>1）投标人全额投资充电桩建设（包括设备购置、运输、建设施工、电缆及配电箱、计量电表、预埋基础、快充桩篷、运营服务、维修、配件等所有保障充电桩运行的费用）并管理运营维护。</w:t>
      </w:r>
    </w:p>
    <w:p>
      <w:pPr>
        <w:ind w:firstLine="480" w:firstLineChars="200"/>
        <w:rPr>
          <w:rFonts w:ascii="宋体" w:hAnsi="宋体"/>
          <w:bCs/>
          <w:sz w:val="24"/>
        </w:rPr>
      </w:pPr>
      <w:r>
        <w:rPr>
          <w:rFonts w:hint="eastAsia" w:ascii="宋体" w:hAnsi="宋体"/>
          <w:bCs/>
          <w:sz w:val="24"/>
        </w:rPr>
        <w:t>2）招标人使用充电桩充电费用按度计量，每度费用由服务费和电费构成，服务费归中标人所有，电费归招标人所有。所需流量卡费用、第三方支付平台（支付宝、微信等）手续费、管理费等由中标人负责支付。中标人不得以其他管理、环境等任何名义收取其他费用。</w:t>
      </w:r>
    </w:p>
    <w:p>
      <w:pPr>
        <w:ind w:firstLine="480" w:firstLineChars="200"/>
        <w:rPr>
          <w:rFonts w:ascii="宋体" w:hAnsi="宋体"/>
          <w:b/>
          <w:sz w:val="24"/>
        </w:rPr>
      </w:pPr>
      <w:r>
        <w:rPr>
          <w:rFonts w:hint="eastAsia" w:ascii="宋体" w:hAnsi="宋体"/>
          <w:bCs/>
          <w:sz w:val="24"/>
        </w:rPr>
        <w:t>3）汽车充电桩挂表计量用电量，中标人按招标人缴费通知根据挂表电量，每两个月向招标人支付电费，以挂表电量基础为准。如挂表电量与平台统计电量出入较大，招标人对电表进行检测，根据检测结果协商计量方式</w:t>
      </w:r>
      <w:r>
        <w:rPr>
          <w:rFonts w:hint="eastAsia" w:ascii="宋体" w:hAnsi="宋体"/>
          <w:b/>
          <w:sz w:val="24"/>
        </w:rPr>
        <w:t>。</w:t>
      </w:r>
    </w:p>
    <w:p>
      <w:pPr>
        <w:ind w:firstLine="482" w:firstLineChars="200"/>
        <w:rPr>
          <w:rFonts w:ascii="宋体" w:hAnsi="宋体"/>
          <w:b/>
          <w:bCs/>
          <w:kern w:val="0"/>
          <w:sz w:val="24"/>
        </w:rPr>
      </w:pPr>
      <w:r>
        <w:rPr>
          <w:rFonts w:hint="eastAsia" w:ascii="宋体" w:hAnsi="宋体"/>
          <w:b/>
          <w:bCs/>
          <w:kern w:val="0"/>
          <w:sz w:val="24"/>
        </w:rPr>
        <w:t>8.运营服务周期：</w:t>
      </w:r>
    </w:p>
    <w:p>
      <w:pPr>
        <w:ind w:firstLine="482" w:firstLineChars="200"/>
      </w:pPr>
      <w:r>
        <w:rPr>
          <w:rFonts w:hint="eastAsia" w:ascii="宋体" w:hAnsi="宋体"/>
          <w:b/>
          <w:bCs/>
          <w:sz w:val="24"/>
        </w:rPr>
        <w:t>项目建设工期：自报，不高于30日历天；</w:t>
      </w:r>
      <w:r>
        <w:rPr>
          <w:rFonts w:hint="eastAsia" w:ascii="宋体" w:hAnsi="宋体"/>
          <w:sz w:val="24"/>
        </w:rPr>
        <w:t>自建成投入使用起</w:t>
      </w:r>
      <w:r>
        <w:rPr>
          <w:rFonts w:hint="eastAsia" w:ascii="宋体" w:hAnsi="宋体"/>
          <w:sz w:val="24"/>
          <w:lang w:val="en-US" w:eastAsia="zh-CN"/>
        </w:rPr>
        <w:t>运营服务期</w:t>
      </w:r>
      <w:r>
        <w:rPr>
          <w:rFonts w:hint="eastAsia" w:ascii="宋体" w:hAnsi="宋体"/>
          <w:b/>
          <w:bCs/>
          <w:sz w:val="24"/>
        </w:rPr>
        <w:t>五年</w:t>
      </w:r>
      <w:r>
        <w:rPr>
          <w:rFonts w:hint="eastAsia" w:ascii="宋体" w:hAnsi="宋体"/>
          <w:sz w:val="24"/>
        </w:rPr>
        <w:t>。服务期满后，招标人将重新招标或做其他规划。合同期内，中标人未经招标人同意，不得以使用率底等为由私自拆走设备，或故意降低服务标准，不及时维修损坏设备等。如因学校转设、迁址办学等导致合同无法履行，合同自然解除，中标人应在接到招标人通知后10日内，自行拆除所有设备设施，并恢复场地。</w:t>
      </w:r>
    </w:p>
    <w:p>
      <w:pPr>
        <w:pStyle w:val="18"/>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9.服务对象：</w:t>
      </w:r>
      <w:r>
        <w:rPr>
          <w:rFonts w:hint="eastAsia" w:ascii="宋体" w:hAnsi="宋体"/>
          <w:b w:val="0"/>
          <w:bCs w:val="0"/>
          <w:kern w:val="0"/>
          <w:sz w:val="24"/>
          <w:szCs w:val="24"/>
        </w:rPr>
        <w:t>江苏师范大学</w:t>
      </w:r>
      <w:r>
        <w:rPr>
          <w:rFonts w:hint="eastAsia" w:ascii="宋体" w:hAnsi="宋体"/>
          <w:b w:val="0"/>
          <w:bCs w:val="0"/>
          <w:sz w:val="24"/>
        </w:rPr>
        <w:t>科文学院</w:t>
      </w:r>
      <w:r>
        <w:rPr>
          <w:rFonts w:hint="eastAsia" w:ascii="宋体" w:hAnsi="宋体"/>
          <w:b w:val="0"/>
          <w:sz w:val="24"/>
        </w:rPr>
        <w:t>潘安湖校区。</w:t>
      </w:r>
    </w:p>
    <w:p>
      <w:pPr>
        <w:ind w:firstLine="482" w:firstLineChars="200"/>
        <w:rPr>
          <w:rFonts w:ascii="宋体" w:hAnsi="宋体"/>
          <w:sz w:val="24"/>
        </w:rPr>
      </w:pPr>
      <w:r>
        <w:rPr>
          <w:rFonts w:hint="eastAsia" w:ascii="宋体" w:hAnsi="宋体"/>
          <w:b/>
          <w:bCs/>
          <w:sz w:val="24"/>
        </w:rPr>
        <w:t>10.现场勘查：</w:t>
      </w:r>
      <w:r>
        <w:rPr>
          <w:rFonts w:hint="eastAsia" w:ascii="宋体" w:hAnsi="宋体"/>
          <w:bCs/>
          <w:sz w:val="24"/>
        </w:rPr>
        <w:t>本项目不安排集中现场勘查，投标人可自行安排现场考察事宜，进入现场前联系相关负责老师，按照校方要求提前一天提供报备资料，费用自理。院方现场对接联系人</w:t>
      </w:r>
      <w:r>
        <w:rPr>
          <w:rFonts w:hint="eastAsia" w:ascii="宋体" w:hAnsi="宋体"/>
          <w:b/>
          <w:sz w:val="24"/>
        </w:rPr>
        <w:t>陈老师，联系方式13685195273。</w:t>
      </w:r>
      <w:r>
        <w:rPr>
          <w:rFonts w:hint="eastAsia" w:ascii="宋体" w:hAnsi="宋体"/>
          <w:bCs/>
          <w:sz w:val="24"/>
        </w:rPr>
        <w:t xml:space="preserve"> 投标人要认真复核施工工程量，且应自行考虑因各种困难因素发生的费用，以后不得以此为由提出额外增加费用的要求。</w:t>
      </w:r>
    </w:p>
    <w:p>
      <w:pPr>
        <w:ind w:firstLine="482" w:firstLineChars="200"/>
        <w:rPr>
          <w:rFonts w:ascii="宋体" w:hAnsi="宋体"/>
          <w:b/>
          <w:bCs/>
          <w:sz w:val="24"/>
        </w:rPr>
      </w:pPr>
      <w:r>
        <w:rPr>
          <w:rFonts w:hint="eastAsia" w:ascii="宋体" w:hAnsi="宋体"/>
          <w:b/>
          <w:bCs/>
          <w:sz w:val="24"/>
        </w:rPr>
        <w:t>11.项目运营及保障方案：各投标人务必准备本项目运营及保障方案彩页5份，密封带至开标现场。该彩页说明书内容包括但不限于要求的项目运营模式与特色、设施设备及配套方案、安装与调试方案、项目质量与安全保障措施、售后维保服务与培训方案、项目负责人及人员队伍配置等内容。</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pPr>
        <w:ind w:firstLine="480" w:firstLineChars="200"/>
        <w:rPr>
          <w:rFonts w:ascii="宋体" w:hAnsi="宋体"/>
          <w:kern w:val="0"/>
          <w:sz w:val="24"/>
        </w:rPr>
      </w:pPr>
      <w:r>
        <w:rPr>
          <w:rFonts w:hint="eastAsia" w:ascii="宋体" w:hAnsi="宋体"/>
          <w:kern w:val="0"/>
          <w:sz w:val="24"/>
        </w:rPr>
        <w:t>投标文件即为投标人的响应文件，下同。</w:t>
      </w:r>
    </w:p>
    <w:p>
      <w:pPr>
        <w:pStyle w:val="19"/>
        <w:numPr>
          <w:ilvl w:val="0"/>
          <w:numId w:val="0"/>
        </w:numPr>
        <w:ind w:firstLine="472" w:firstLineChars="196"/>
        <w:rPr>
          <w:b/>
          <w:sz w:val="24"/>
          <w:szCs w:val="24"/>
        </w:rPr>
      </w:pPr>
      <w:r>
        <w:rPr>
          <w:rFonts w:hint="eastAsia"/>
          <w:b/>
          <w:sz w:val="24"/>
          <w:szCs w:val="24"/>
        </w:rPr>
        <w:t>1. 投标文件的语言和计量单位</w:t>
      </w:r>
    </w:p>
    <w:p>
      <w:pPr>
        <w:pStyle w:val="19"/>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pPr>
        <w:pStyle w:val="19"/>
        <w:numPr>
          <w:ilvl w:val="0"/>
          <w:numId w:val="0"/>
        </w:numPr>
        <w:ind w:firstLine="480" w:firstLineChars="200"/>
        <w:rPr>
          <w:sz w:val="24"/>
          <w:szCs w:val="24"/>
        </w:rPr>
      </w:pPr>
      <w:r>
        <w:rPr>
          <w:rFonts w:hint="eastAsia"/>
          <w:sz w:val="24"/>
          <w:szCs w:val="24"/>
        </w:rPr>
        <w:t>1.2投标文件所使用的计量单位，均采用中华人民共和国法定计量单位。</w:t>
      </w:r>
    </w:p>
    <w:p>
      <w:pPr>
        <w:pStyle w:val="19"/>
        <w:numPr>
          <w:ilvl w:val="0"/>
          <w:numId w:val="0"/>
        </w:numPr>
        <w:ind w:firstLine="472" w:firstLineChars="196"/>
        <w:rPr>
          <w:b/>
          <w:sz w:val="24"/>
          <w:szCs w:val="24"/>
        </w:rPr>
      </w:pPr>
      <w:r>
        <w:rPr>
          <w:rFonts w:hint="eastAsia"/>
          <w:b/>
          <w:sz w:val="24"/>
          <w:szCs w:val="24"/>
        </w:rPr>
        <w:t>2投标文件的组成及相关要求</w:t>
      </w:r>
    </w:p>
    <w:p>
      <w:pPr>
        <w:pStyle w:val="19"/>
        <w:numPr>
          <w:ilvl w:val="0"/>
          <w:numId w:val="0"/>
        </w:numPr>
        <w:ind w:firstLine="480" w:firstLineChars="200"/>
        <w:rPr>
          <w:sz w:val="24"/>
          <w:szCs w:val="24"/>
        </w:rPr>
      </w:pPr>
      <w:r>
        <w:rPr>
          <w:rFonts w:hint="eastAsia"/>
          <w:sz w:val="24"/>
          <w:szCs w:val="24"/>
        </w:rPr>
        <w:t>为了方便评审，投标文件中的各项表格必须按照磋商文件要求制作。</w:t>
      </w:r>
    </w:p>
    <w:p>
      <w:pPr>
        <w:pStyle w:val="19"/>
        <w:numPr>
          <w:ilvl w:val="0"/>
          <w:numId w:val="0"/>
        </w:numPr>
        <w:ind w:firstLine="472" w:firstLineChars="196"/>
        <w:rPr>
          <w:b/>
          <w:sz w:val="24"/>
          <w:szCs w:val="24"/>
        </w:rPr>
      </w:pPr>
      <w:r>
        <w:rPr>
          <w:rFonts w:hint="eastAsia"/>
          <w:b/>
          <w:sz w:val="24"/>
          <w:szCs w:val="24"/>
        </w:rPr>
        <w:t>3.投标内容填写说明</w:t>
      </w:r>
    </w:p>
    <w:p>
      <w:pPr>
        <w:pStyle w:val="19"/>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pPr>
        <w:pStyle w:val="19"/>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19"/>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pPr>
        <w:pStyle w:val="19"/>
        <w:numPr>
          <w:ilvl w:val="0"/>
          <w:numId w:val="0"/>
        </w:numPr>
        <w:ind w:firstLine="480" w:firstLineChars="200"/>
        <w:rPr>
          <w:sz w:val="24"/>
          <w:szCs w:val="24"/>
        </w:rPr>
      </w:pPr>
      <w:r>
        <w:rPr>
          <w:rFonts w:hint="eastAsia"/>
          <w:sz w:val="24"/>
          <w:szCs w:val="24"/>
        </w:rPr>
        <w:t>本项目投标报价应包括文件规定的招标范围内产生的设备与人员安排、应急预案、施工安装和调试、合约期的服务范围与服务项目、投标人的利润、税金和应承担的风险等所有费用。</w:t>
      </w:r>
    </w:p>
    <w:p>
      <w:pPr>
        <w:pStyle w:val="19"/>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pPr>
        <w:pStyle w:val="19"/>
        <w:numPr>
          <w:ilvl w:val="0"/>
          <w:numId w:val="0"/>
        </w:numPr>
        <w:ind w:firstLine="480" w:firstLineChars="200"/>
        <w:rPr>
          <w:sz w:val="24"/>
          <w:szCs w:val="24"/>
        </w:rPr>
      </w:pPr>
      <w:r>
        <w:rPr>
          <w:rFonts w:hint="eastAsia"/>
          <w:sz w:val="24"/>
          <w:szCs w:val="24"/>
        </w:rPr>
        <w:t>3.6</w:t>
      </w:r>
      <w:r>
        <w:rPr>
          <w:rFonts w:hint="eastAsia"/>
          <w:b/>
          <w:sz w:val="24"/>
          <w:szCs w:val="24"/>
        </w:rPr>
        <w:t>本项目有二次报价环节，二次报价不得高于一次报价，且二次报价为最终报价</w:t>
      </w:r>
      <w:r>
        <w:rPr>
          <w:rFonts w:hint="eastAsia"/>
          <w:sz w:val="24"/>
          <w:szCs w:val="24"/>
        </w:rPr>
        <w:t>。</w:t>
      </w:r>
    </w:p>
    <w:p>
      <w:pPr>
        <w:pStyle w:val="19"/>
        <w:numPr>
          <w:ilvl w:val="0"/>
          <w:numId w:val="0"/>
        </w:numPr>
        <w:ind w:firstLine="472" w:firstLineChars="196"/>
        <w:rPr>
          <w:b/>
          <w:sz w:val="24"/>
          <w:szCs w:val="24"/>
        </w:rPr>
      </w:pPr>
      <w:r>
        <w:rPr>
          <w:rFonts w:hint="eastAsia"/>
          <w:b/>
          <w:sz w:val="24"/>
          <w:szCs w:val="24"/>
        </w:rPr>
        <w:t>4.投标文件的编制</w:t>
      </w:r>
    </w:p>
    <w:p>
      <w:pPr>
        <w:pStyle w:val="19"/>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pPr>
        <w:pStyle w:val="19"/>
        <w:numPr>
          <w:ilvl w:val="0"/>
          <w:numId w:val="3"/>
        </w:numPr>
        <w:rPr>
          <w:kern w:val="2"/>
          <w:sz w:val="24"/>
          <w:szCs w:val="24"/>
        </w:rPr>
      </w:pPr>
      <w:r>
        <w:rPr>
          <w:rFonts w:hint="eastAsia"/>
          <w:kern w:val="2"/>
          <w:sz w:val="24"/>
          <w:szCs w:val="24"/>
        </w:rPr>
        <w:t>资格审查符合性审查材料索引表</w:t>
      </w:r>
    </w:p>
    <w:p>
      <w:pPr>
        <w:pStyle w:val="19"/>
        <w:numPr>
          <w:ilvl w:val="0"/>
          <w:numId w:val="3"/>
        </w:numPr>
        <w:rPr>
          <w:kern w:val="2"/>
          <w:sz w:val="24"/>
          <w:szCs w:val="24"/>
        </w:rPr>
      </w:pPr>
      <w:r>
        <w:rPr>
          <w:rFonts w:hint="eastAsia"/>
          <w:kern w:val="2"/>
          <w:sz w:val="24"/>
          <w:szCs w:val="24"/>
        </w:rPr>
        <w:t>投标函；</w:t>
      </w:r>
    </w:p>
    <w:p>
      <w:pPr>
        <w:pStyle w:val="19"/>
        <w:numPr>
          <w:ilvl w:val="0"/>
          <w:numId w:val="3"/>
        </w:numPr>
        <w:rPr>
          <w:kern w:val="2"/>
          <w:sz w:val="24"/>
          <w:szCs w:val="24"/>
        </w:rPr>
      </w:pPr>
      <w:r>
        <w:rPr>
          <w:rFonts w:hint="eastAsia"/>
          <w:kern w:val="2"/>
          <w:sz w:val="24"/>
          <w:szCs w:val="24"/>
        </w:rPr>
        <w:t>投标报价一览表；</w:t>
      </w:r>
    </w:p>
    <w:p>
      <w:pPr>
        <w:pStyle w:val="19"/>
        <w:numPr>
          <w:ilvl w:val="0"/>
          <w:numId w:val="3"/>
        </w:numPr>
        <w:rPr>
          <w:kern w:val="2"/>
          <w:sz w:val="24"/>
          <w:szCs w:val="24"/>
        </w:rPr>
      </w:pPr>
      <w:r>
        <w:rPr>
          <w:rFonts w:hint="eastAsia"/>
          <w:kern w:val="2"/>
          <w:sz w:val="24"/>
          <w:szCs w:val="24"/>
        </w:rPr>
        <w:t>法定代表人的授权委托书（原件封于投标文件正本中）；</w:t>
      </w:r>
    </w:p>
    <w:p>
      <w:pPr>
        <w:pStyle w:val="19"/>
        <w:numPr>
          <w:ilvl w:val="0"/>
          <w:numId w:val="3"/>
        </w:numPr>
        <w:rPr>
          <w:sz w:val="24"/>
          <w:szCs w:val="24"/>
        </w:rPr>
      </w:pPr>
      <w:r>
        <w:rPr>
          <w:rFonts w:hint="eastAsia"/>
          <w:sz w:val="24"/>
          <w:szCs w:val="24"/>
        </w:rPr>
        <w:t>承诺书（原件封于投标文件正本中）；</w:t>
      </w:r>
      <w:r>
        <w:rPr>
          <w:sz w:val="24"/>
          <w:szCs w:val="24"/>
        </w:rPr>
        <w:t xml:space="preserve"> </w:t>
      </w:r>
    </w:p>
    <w:p>
      <w:pPr>
        <w:pStyle w:val="19"/>
        <w:numPr>
          <w:ilvl w:val="0"/>
          <w:numId w:val="3"/>
        </w:numPr>
        <w:rPr>
          <w:kern w:val="2"/>
          <w:sz w:val="24"/>
          <w:szCs w:val="24"/>
        </w:rPr>
      </w:pPr>
      <w:r>
        <w:rPr>
          <w:rFonts w:hint="eastAsia"/>
          <w:kern w:val="2"/>
          <w:sz w:val="24"/>
          <w:szCs w:val="24"/>
        </w:rPr>
        <w:t>无重大违法记录的书面声明</w:t>
      </w:r>
      <w:bookmarkStart w:id="0" w:name="_Hlk38290086"/>
      <w:r>
        <w:rPr>
          <w:rFonts w:hint="eastAsia"/>
          <w:kern w:val="2"/>
          <w:sz w:val="24"/>
          <w:szCs w:val="24"/>
        </w:rPr>
        <w:t>（原件封于投标文件正本中）</w:t>
      </w:r>
      <w:bookmarkEnd w:id="0"/>
      <w:r>
        <w:rPr>
          <w:rFonts w:hint="eastAsia"/>
          <w:kern w:val="2"/>
          <w:sz w:val="24"/>
          <w:szCs w:val="24"/>
        </w:rPr>
        <w:t>；</w:t>
      </w:r>
    </w:p>
    <w:p>
      <w:pPr>
        <w:pStyle w:val="19"/>
        <w:numPr>
          <w:ilvl w:val="0"/>
          <w:numId w:val="3"/>
        </w:numPr>
        <w:rPr>
          <w:kern w:val="2"/>
          <w:sz w:val="24"/>
          <w:szCs w:val="24"/>
        </w:rPr>
      </w:pPr>
      <w:r>
        <w:rPr>
          <w:rFonts w:hint="eastAsia"/>
          <w:kern w:val="2"/>
          <w:sz w:val="24"/>
          <w:szCs w:val="24"/>
        </w:rPr>
        <w:t>投标单位情况介绍（简要说明）；</w:t>
      </w:r>
    </w:p>
    <w:p>
      <w:pPr>
        <w:pStyle w:val="19"/>
        <w:numPr>
          <w:ilvl w:val="0"/>
          <w:numId w:val="3"/>
        </w:numPr>
        <w:rPr>
          <w:kern w:val="2"/>
          <w:sz w:val="24"/>
          <w:szCs w:val="24"/>
        </w:rPr>
      </w:pPr>
      <w:r>
        <w:rPr>
          <w:rFonts w:hint="eastAsia"/>
          <w:kern w:val="2"/>
          <w:sz w:val="24"/>
          <w:szCs w:val="24"/>
        </w:rPr>
        <w:t>企业营业执照复印件；</w:t>
      </w:r>
    </w:p>
    <w:p>
      <w:pPr>
        <w:numPr>
          <w:ilvl w:val="0"/>
          <w:numId w:val="3"/>
        </w:numPr>
        <w:rPr>
          <w:rFonts w:ascii="宋体" w:hAnsi="宋体"/>
          <w:sz w:val="24"/>
        </w:rPr>
      </w:pPr>
      <w:r>
        <w:rPr>
          <w:rFonts w:hint="eastAsia" w:ascii="宋体" w:hAnsi="宋体"/>
          <w:sz w:val="24"/>
        </w:rPr>
        <w:t>投标人财务状况良好，提供：</w:t>
      </w:r>
    </w:p>
    <w:p>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color w:val="000000"/>
          <w:sz w:val="24"/>
        </w:rPr>
        <w:t>本条中（1）、（2）要求的材料无法提供时，可提供有审计资格的第三方出具的投标人上一年财务审计报告复印件。</w:t>
      </w:r>
    </w:p>
    <w:p>
      <w:pPr>
        <w:pStyle w:val="19"/>
        <w:numPr>
          <w:ilvl w:val="0"/>
          <w:numId w:val="0"/>
        </w:numPr>
        <w:adjustRightInd/>
        <w:ind w:firstLine="480" w:firstLineChars="200"/>
        <w:jc w:val="left"/>
        <w:rPr>
          <w:kern w:val="2"/>
          <w:sz w:val="24"/>
          <w:szCs w:val="24"/>
        </w:rPr>
      </w:pPr>
      <w:r>
        <w:rPr>
          <w:rFonts w:hint="eastAsia"/>
          <w:sz w:val="24"/>
          <w:szCs w:val="24"/>
        </w:rPr>
        <w:t>4.11未被“信用中国”网站（www.creditchina.gov.cn）列入失信执行人、重大税收违法案件当事人名单、政府采购严重违法失信行为记录名单，否则投标无效。</w:t>
      </w:r>
      <w:r>
        <w:rPr>
          <w:rFonts w:hint="eastAsia"/>
          <w:b/>
          <w:sz w:val="24"/>
          <w:szCs w:val="24"/>
        </w:rPr>
        <w:t>（须提供信用证书或信用查询截图）</w:t>
      </w:r>
    </w:p>
    <w:p>
      <w:pPr>
        <w:pStyle w:val="19"/>
        <w:numPr>
          <w:ilvl w:val="0"/>
          <w:numId w:val="0"/>
        </w:numPr>
        <w:adjustRightInd/>
        <w:ind w:firstLine="480" w:firstLineChars="200"/>
        <w:jc w:val="left"/>
        <w:rPr>
          <w:kern w:val="2"/>
          <w:sz w:val="24"/>
          <w:szCs w:val="24"/>
        </w:rPr>
      </w:pPr>
      <w:r>
        <w:rPr>
          <w:rFonts w:hint="eastAsia"/>
          <w:kern w:val="2"/>
          <w:sz w:val="24"/>
          <w:szCs w:val="24"/>
        </w:rPr>
        <w:t>4.12投标人资格条件中对企业、项目负责人资质（资格）有要求时须提供相关证书复印件，否则无须提供；</w:t>
      </w:r>
    </w:p>
    <w:p>
      <w:pPr>
        <w:pStyle w:val="19"/>
        <w:numPr>
          <w:ilvl w:val="0"/>
          <w:numId w:val="0"/>
        </w:numPr>
        <w:adjustRightInd/>
        <w:ind w:firstLine="480" w:firstLineChars="200"/>
        <w:jc w:val="left"/>
        <w:rPr>
          <w:sz w:val="24"/>
          <w:szCs w:val="24"/>
        </w:rPr>
      </w:pPr>
      <w:r>
        <w:rPr>
          <w:rFonts w:hint="eastAsia"/>
          <w:kern w:val="2"/>
          <w:sz w:val="24"/>
          <w:szCs w:val="24"/>
        </w:rPr>
        <w:t>4.13投标</w:t>
      </w:r>
      <w:r>
        <w:rPr>
          <w:rFonts w:hint="eastAsia"/>
          <w:sz w:val="24"/>
          <w:szCs w:val="24"/>
        </w:rPr>
        <w:t>单位为投标代表缴纳社保证明（提交首次响应文件时间前6个月内任何1月的依法缴纳社保的相关材料复印件）；</w:t>
      </w:r>
    </w:p>
    <w:p>
      <w:pPr>
        <w:pStyle w:val="19"/>
        <w:numPr>
          <w:ilvl w:val="0"/>
          <w:numId w:val="0"/>
        </w:numPr>
        <w:adjustRightInd/>
        <w:ind w:firstLine="480" w:firstLineChars="200"/>
        <w:jc w:val="left"/>
        <w:rPr>
          <w:kern w:val="2"/>
          <w:sz w:val="24"/>
          <w:szCs w:val="24"/>
        </w:rPr>
      </w:pPr>
      <w:r>
        <w:rPr>
          <w:rFonts w:hint="eastAsia"/>
          <w:kern w:val="2"/>
          <w:sz w:val="24"/>
          <w:szCs w:val="24"/>
        </w:rPr>
        <w:t>4.14商务和技术偏离表；</w:t>
      </w:r>
    </w:p>
    <w:p>
      <w:pPr>
        <w:pStyle w:val="19"/>
        <w:numPr>
          <w:ilvl w:val="0"/>
          <w:numId w:val="0"/>
        </w:numPr>
        <w:shd w:val="clear" w:color="auto"/>
        <w:adjustRightInd/>
        <w:ind w:firstLine="480" w:firstLineChars="200"/>
        <w:jc w:val="left"/>
        <w:rPr>
          <w:kern w:val="2"/>
          <w:sz w:val="24"/>
          <w:szCs w:val="24"/>
        </w:rPr>
      </w:pPr>
      <w:r>
        <w:rPr>
          <w:rFonts w:hint="eastAsia"/>
          <w:kern w:val="2"/>
          <w:sz w:val="24"/>
          <w:szCs w:val="24"/>
        </w:rPr>
        <w:t>4.15设施设备及配套方案</w:t>
      </w:r>
      <w:r>
        <w:rPr>
          <w:rFonts w:hint="eastAsia"/>
          <w:kern w:val="2"/>
          <w:sz w:val="24"/>
          <w:szCs w:val="24"/>
          <w:lang w:eastAsia="zh-CN"/>
        </w:rPr>
        <w:t>（</w:t>
      </w:r>
      <w:r>
        <w:rPr>
          <w:rFonts w:hint="eastAsia"/>
          <w:kern w:val="2"/>
          <w:sz w:val="24"/>
          <w:szCs w:val="24"/>
        </w:rPr>
        <w:t>包括设施设备清单、材质、规格型号、数量、金额、能耗功率、使用年限、安装要求、入场水电要求、技术参数、外观等</w:t>
      </w:r>
      <w:r>
        <w:rPr>
          <w:rFonts w:hint="eastAsia"/>
          <w:kern w:val="2"/>
          <w:sz w:val="24"/>
          <w:szCs w:val="24"/>
          <w:lang w:eastAsia="zh-CN"/>
        </w:rPr>
        <w:t>）</w:t>
      </w:r>
      <w:r>
        <w:rPr>
          <w:rFonts w:hint="eastAsia"/>
          <w:kern w:val="2"/>
          <w:sz w:val="24"/>
          <w:szCs w:val="24"/>
        </w:rPr>
        <w:t>；</w:t>
      </w:r>
      <w:bookmarkStart w:id="14" w:name="_GoBack"/>
      <w:bookmarkEnd w:id="14"/>
    </w:p>
    <w:p>
      <w:pPr>
        <w:pStyle w:val="19"/>
        <w:numPr>
          <w:ilvl w:val="0"/>
          <w:numId w:val="0"/>
        </w:numPr>
        <w:shd w:val="clear" w:color="auto"/>
        <w:adjustRightInd/>
        <w:ind w:firstLine="480" w:firstLineChars="200"/>
        <w:jc w:val="left"/>
        <w:rPr>
          <w:kern w:val="2"/>
          <w:sz w:val="24"/>
          <w:szCs w:val="24"/>
        </w:rPr>
      </w:pPr>
      <w:r>
        <w:rPr>
          <w:rFonts w:hint="eastAsia"/>
          <w:kern w:val="2"/>
          <w:sz w:val="24"/>
          <w:szCs w:val="24"/>
        </w:rPr>
        <w:t>4.16项目实施方案（包括项目运营模式与特色、设备设施（系统）的供货与安装调试方案、项目质量与安全保障措施、售后维保服务与培训方案、项目负责人及人员队伍配置）；</w:t>
      </w:r>
    </w:p>
    <w:p>
      <w:pPr>
        <w:pStyle w:val="19"/>
        <w:numPr>
          <w:ilvl w:val="0"/>
          <w:numId w:val="0"/>
        </w:numPr>
        <w:adjustRightInd/>
        <w:ind w:firstLine="480" w:firstLineChars="200"/>
        <w:jc w:val="left"/>
        <w:rPr>
          <w:kern w:val="2"/>
          <w:sz w:val="24"/>
          <w:szCs w:val="24"/>
        </w:rPr>
      </w:pPr>
      <w:r>
        <w:rPr>
          <w:rFonts w:hint="eastAsia"/>
          <w:kern w:val="2"/>
          <w:sz w:val="24"/>
          <w:szCs w:val="24"/>
        </w:rPr>
        <w:t>4.18投标人业绩一览表及业绩复印件（</w:t>
      </w:r>
      <w:r>
        <w:rPr>
          <w:rFonts w:hint="eastAsia"/>
          <w:b/>
          <w:kern w:val="2"/>
          <w:sz w:val="24"/>
          <w:szCs w:val="24"/>
        </w:rPr>
        <w:t>业绩原件备查</w:t>
      </w:r>
      <w:r>
        <w:rPr>
          <w:rFonts w:hint="eastAsia"/>
          <w:kern w:val="2"/>
          <w:sz w:val="24"/>
          <w:szCs w:val="24"/>
        </w:rPr>
        <w:t>）；</w:t>
      </w:r>
    </w:p>
    <w:p>
      <w:pPr>
        <w:pStyle w:val="19"/>
        <w:numPr>
          <w:ilvl w:val="0"/>
          <w:numId w:val="0"/>
        </w:numPr>
        <w:adjustRightInd/>
        <w:ind w:firstLine="480" w:firstLineChars="200"/>
        <w:jc w:val="left"/>
        <w:rPr>
          <w:kern w:val="2"/>
          <w:sz w:val="24"/>
          <w:szCs w:val="24"/>
        </w:rPr>
      </w:pPr>
      <w:r>
        <w:rPr>
          <w:rFonts w:hint="eastAsia"/>
          <w:kern w:val="2"/>
          <w:sz w:val="24"/>
          <w:szCs w:val="24"/>
        </w:rPr>
        <w:t>4.19磋商文件中要求提交的和投标人认为需要提供的其它说明和资料。</w:t>
      </w:r>
    </w:p>
    <w:p>
      <w:pPr>
        <w:pStyle w:val="19"/>
        <w:numPr>
          <w:ilvl w:val="0"/>
          <w:numId w:val="0"/>
        </w:numPr>
        <w:ind w:firstLine="472" w:firstLineChars="196"/>
        <w:rPr>
          <w:b/>
          <w:sz w:val="24"/>
          <w:szCs w:val="24"/>
        </w:rPr>
      </w:pPr>
      <w:r>
        <w:rPr>
          <w:rFonts w:hint="eastAsia"/>
          <w:b/>
          <w:sz w:val="24"/>
          <w:szCs w:val="24"/>
        </w:rPr>
        <w:t>5.投标要求</w:t>
      </w:r>
    </w:p>
    <w:p>
      <w:pPr>
        <w:pStyle w:val="19"/>
        <w:numPr>
          <w:ilvl w:val="0"/>
          <w:numId w:val="0"/>
        </w:numPr>
        <w:ind w:firstLine="480" w:firstLineChars="200"/>
        <w:rPr>
          <w:kern w:val="2"/>
          <w:sz w:val="24"/>
          <w:szCs w:val="24"/>
        </w:rPr>
      </w:pPr>
      <w:r>
        <w:rPr>
          <w:rFonts w:hint="eastAsia"/>
          <w:kern w:val="2"/>
          <w:sz w:val="24"/>
          <w:szCs w:val="24"/>
        </w:rPr>
        <w:t>5.1 所有投标均以人民币“元”为计算单位。</w:t>
      </w:r>
    </w:p>
    <w:p>
      <w:pPr>
        <w:pStyle w:val="19"/>
        <w:numPr>
          <w:ilvl w:val="0"/>
          <w:numId w:val="0"/>
        </w:numPr>
        <w:ind w:firstLine="480" w:firstLineChars="200"/>
        <w:rPr>
          <w:kern w:val="2"/>
          <w:sz w:val="24"/>
          <w:szCs w:val="24"/>
        </w:rPr>
      </w:pPr>
      <w:r>
        <w:rPr>
          <w:rFonts w:hint="eastAsia"/>
          <w:kern w:val="2"/>
          <w:sz w:val="24"/>
          <w:szCs w:val="24"/>
        </w:rPr>
        <w:t>5.2投标人要按报价表(统一格式)的内容填写综合单价、总价及其他事项，并由法定代表人或投标人代表签署。</w:t>
      </w:r>
    </w:p>
    <w:p>
      <w:pPr>
        <w:pStyle w:val="19"/>
        <w:numPr>
          <w:ilvl w:val="0"/>
          <w:numId w:val="0"/>
        </w:numPr>
        <w:ind w:firstLine="480" w:firstLineChars="200"/>
        <w:rPr>
          <w:kern w:val="2"/>
          <w:sz w:val="24"/>
          <w:szCs w:val="24"/>
        </w:rPr>
      </w:pPr>
      <w:r>
        <w:rPr>
          <w:rFonts w:hint="eastAsia"/>
          <w:kern w:val="2"/>
          <w:sz w:val="24"/>
          <w:szCs w:val="24"/>
        </w:rPr>
        <w:t>5.3采购人不接受不明确的投标方案和投标。</w:t>
      </w:r>
    </w:p>
    <w:p>
      <w:pPr>
        <w:pStyle w:val="19"/>
        <w:numPr>
          <w:ilvl w:val="0"/>
          <w:numId w:val="0"/>
        </w:numPr>
        <w:ind w:firstLine="480" w:firstLineChars="200"/>
        <w:rPr>
          <w:kern w:val="2"/>
          <w:sz w:val="24"/>
          <w:szCs w:val="24"/>
        </w:rPr>
      </w:pPr>
      <w:r>
        <w:rPr>
          <w:rFonts w:hint="eastAsia"/>
          <w:kern w:val="2"/>
          <w:sz w:val="24"/>
          <w:szCs w:val="24"/>
        </w:rPr>
        <w:t>5.</w:t>
      </w:r>
      <w:r>
        <w:rPr>
          <w:kern w:val="2"/>
          <w:sz w:val="24"/>
          <w:szCs w:val="24"/>
        </w:rPr>
        <w:t>4</w:t>
      </w:r>
      <w:r>
        <w:rPr>
          <w:rFonts w:hint="eastAsia"/>
          <w:kern w:val="2"/>
          <w:sz w:val="24"/>
          <w:szCs w:val="24"/>
        </w:rPr>
        <w:t>以可调整的价格提交的投标将被视为非响应性投标而被拒绝。</w:t>
      </w:r>
    </w:p>
    <w:p>
      <w:pPr>
        <w:pStyle w:val="19"/>
        <w:numPr>
          <w:ilvl w:val="0"/>
          <w:numId w:val="0"/>
        </w:numPr>
        <w:ind w:firstLine="480" w:firstLineChars="200"/>
        <w:rPr>
          <w:color w:val="FF0000"/>
          <w:kern w:val="2"/>
          <w:sz w:val="24"/>
          <w:szCs w:val="24"/>
        </w:rPr>
      </w:pPr>
      <w:r>
        <w:rPr>
          <w:rFonts w:hint="eastAsia"/>
          <w:kern w:val="2"/>
          <w:sz w:val="24"/>
          <w:szCs w:val="24"/>
        </w:rPr>
        <w:t>5.</w:t>
      </w:r>
      <w:r>
        <w:rPr>
          <w:kern w:val="2"/>
          <w:sz w:val="24"/>
          <w:szCs w:val="24"/>
        </w:rPr>
        <w:t>5</w:t>
      </w:r>
      <w:r>
        <w:rPr>
          <w:rFonts w:hint="eastAsia"/>
          <w:kern w:val="2"/>
          <w:sz w:val="24"/>
          <w:szCs w:val="24"/>
        </w:rPr>
        <w:t>最低投标价不能作为成交的保证。</w:t>
      </w:r>
    </w:p>
    <w:p>
      <w:pPr>
        <w:pStyle w:val="19"/>
        <w:numPr>
          <w:ilvl w:val="0"/>
          <w:numId w:val="0"/>
        </w:numPr>
        <w:ind w:firstLine="354" w:firstLineChars="147"/>
        <w:rPr>
          <w:b/>
          <w:sz w:val="24"/>
          <w:szCs w:val="24"/>
        </w:rPr>
      </w:pPr>
      <w:r>
        <w:rPr>
          <w:rFonts w:hint="eastAsia"/>
          <w:b/>
          <w:sz w:val="24"/>
          <w:szCs w:val="24"/>
        </w:rPr>
        <w:t>6.投标保证金</w:t>
      </w:r>
      <w:r>
        <w:rPr>
          <w:rFonts w:hint="eastAsia"/>
          <w:b/>
          <w:sz w:val="24"/>
          <w:szCs w:val="24"/>
          <w:lang w:eastAsia="zh-CN"/>
        </w:rPr>
        <w:t>、</w:t>
      </w:r>
      <w:r>
        <w:rPr>
          <w:rFonts w:hint="eastAsia"/>
          <w:b/>
          <w:sz w:val="24"/>
          <w:szCs w:val="24"/>
          <w:lang w:val="en-US" w:eastAsia="zh-CN"/>
        </w:rPr>
        <w:t>履约保证金</w:t>
      </w:r>
      <w:r>
        <w:rPr>
          <w:rFonts w:hint="eastAsia"/>
          <w:b/>
          <w:sz w:val="24"/>
          <w:szCs w:val="24"/>
        </w:rPr>
        <w:t>及标书费</w:t>
      </w:r>
    </w:p>
    <w:p>
      <w:pPr>
        <w:ind w:firstLine="480" w:firstLineChars="200"/>
        <w:rPr>
          <w:rFonts w:hint="eastAsia"/>
          <w:sz w:val="24"/>
        </w:rPr>
      </w:pPr>
      <w:r>
        <w:rPr>
          <w:rFonts w:hint="eastAsia" w:ascii="宋体" w:hAnsi="宋体" w:eastAsia="宋体" w:cs="Times New Roman"/>
          <w:kern w:val="2"/>
          <w:sz w:val="24"/>
          <w:szCs w:val="24"/>
          <w:lang w:val="en-US" w:eastAsia="zh-CN" w:bidi="ar-SA"/>
        </w:rPr>
        <w:t>6.1</w:t>
      </w:r>
      <w:r>
        <w:rPr>
          <w:rFonts w:hint="eastAsia"/>
          <w:sz w:val="24"/>
        </w:rPr>
        <w:t>本项目不收取投标保证金。</w:t>
      </w:r>
    </w:p>
    <w:p>
      <w:pPr>
        <w:ind w:firstLine="480" w:firstLineChars="200"/>
        <w:rPr>
          <w:rFonts w:ascii="宋体" w:hAnsi="宋体" w:cs="宋体"/>
          <w:sz w:val="24"/>
        </w:rPr>
      </w:pPr>
      <w:r>
        <w:rPr>
          <w:rFonts w:hint="eastAsia" w:ascii="宋体" w:hAnsi="宋体" w:eastAsia="宋体" w:cs="Times New Roman"/>
          <w:kern w:val="2"/>
          <w:sz w:val="24"/>
          <w:szCs w:val="24"/>
          <w:lang w:val="en-US" w:eastAsia="zh-CN" w:bidi="ar-SA"/>
        </w:rPr>
        <w:t>6.2</w:t>
      </w:r>
      <w:r>
        <w:rPr>
          <w:rFonts w:hint="eastAsia" w:ascii="宋体" w:hAnsi="宋体" w:cs="Times New Roman"/>
          <w:kern w:val="2"/>
          <w:sz w:val="24"/>
          <w:szCs w:val="24"/>
          <w:lang w:val="en-US" w:eastAsia="zh-CN" w:bidi="ar-SA"/>
        </w:rPr>
        <w:t>本项目</w:t>
      </w:r>
      <w:r>
        <w:rPr>
          <w:rFonts w:hint="eastAsia" w:ascii="宋体" w:hAnsi="宋体" w:cs="宋体"/>
          <w:color w:val="auto"/>
          <w:sz w:val="24"/>
        </w:rPr>
        <w:t>收取中标单位合同履约保证金(履约后等额退还)</w:t>
      </w:r>
      <w:r>
        <w:rPr>
          <w:rFonts w:hint="eastAsia" w:ascii="宋体" w:hAnsi="宋体" w:cs="宋体"/>
          <w:color w:val="auto"/>
          <w:sz w:val="24"/>
          <w:lang w:val="en-US" w:eastAsia="zh-CN"/>
        </w:rPr>
        <w:t>人民币1</w:t>
      </w:r>
      <w:r>
        <w:rPr>
          <w:rFonts w:hint="eastAsia" w:ascii="宋体" w:hAnsi="宋体" w:cs="宋体"/>
          <w:color w:val="auto"/>
          <w:sz w:val="24"/>
        </w:rPr>
        <w:t>万元。</w:t>
      </w:r>
    </w:p>
    <w:p>
      <w:pPr>
        <w:pStyle w:val="19"/>
        <w:numPr>
          <w:ilvl w:val="0"/>
          <w:numId w:val="0"/>
        </w:numPr>
        <w:ind w:firstLine="480" w:firstLineChars="200"/>
        <w:rPr>
          <w:kern w:val="2"/>
          <w:sz w:val="24"/>
          <w:szCs w:val="24"/>
        </w:rPr>
      </w:pPr>
      <w:r>
        <w:rPr>
          <w:rFonts w:hint="eastAsia"/>
          <w:kern w:val="2"/>
          <w:sz w:val="24"/>
          <w:szCs w:val="24"/>
        </w:rPr>
        <w:t>6</w:t>
      </w:r>
      <w:r>
        <w:rPr>
          <w:kern w:val="2"/>
          <w:sz w:val="24"/>
          <w:szCs w:val="24"/>
        </w:rPr>
        <w:t>.</w:t>
      </w:r>
      <w:r>
        <w:rPr>
          <w:rFonts w:hint="eastAsia"/>
          <w:kern w:val="2"/>
          <w:sz w:val="24"/>
          <w:szCs w:val="24"/>
          <w:lang w:val="en-US" w:eastAsia="zh-CN"/>
        </w:rPr>
        <w:t>3</w:t>
      </w:r>
      <w:r>
        <w:rPr>
          <w:rFonts w:hint="eastAsia"/>
          <w:kern w:val="2"/>
          <w:sz w:val="24"/>
          <w:szCs w:val="24"/>
        </w:rPr>
        <w:t>标书费金额及缴纳方式见“磋商公告”。</w:t>
      </w:r>
    </w:p>
    <w:p>
      <w:pPr>
        <w:pStyle w:val="19"/>
        <w:numPr>
          <w:ilvl w:val="0"/>
          <w:numId w:val="0"/>
        </w:numPr>
        <w:ind w:firstLine="360" w:firstLineChars="150"/>
        <w:rPr>
          <w:b/>
          <w:sz w:val="24"/>
          <w:szCs w:val="24"/>
        </w:rPr>
      </w:pPr>
      <w:r>
        <w:rPr>
          <w:rFonts w:hint="eastAsia"/>
          <w:kern w:val="2"/>
          <w:sz w:val="24"/>
          <w:szCs w:val="24"/>
        </w:rPr>
        <w:t xml:space="preserve"> </w:t>
      </w:r>
      <w:r>
        <w:rPr>
          <w:rFonts w:hint="eastAsia"/>
          <w:b/>
          <w:sz w:val="24"/>
          <w:szCs w:val="24"/>
        </w:rPr>
        <w:t>7.投标文件的有效期</w:t>
      </w:r>
    </w:p>
    <w:p>
      <w:pPr>
        <w:pStyle w:val="19"/>
        <w:numPr>
          <w:ilvl w:val="0"/>
          <w:numId w:val="0"/>
        </w:numPr>
        <w:ind w:firstLine="240" w:firstLineChars="100"/>
        <w:rPr>
          <w:kern w:val="2"/>
          <w:sz w:val="24"/>
          <w:szCs w:val="24"/>
        </w:rPr>
      </w:pPr>
      <w:r>
        <w:rPr>
          <w:rFonts w:hint="eastAsia"/>
          <w:kern w:val="2"/>
          <w:sz w:val="24"/>
          <w:szCs w:val="24"/>
        </w:rPr>
        <w:t xml:space="preserve">  7.1 自投标日起90日内，投标文件应保持有效。如投标人无特别说明，则视为投标人接受此条款。有效期短于该规定期限的投标，将被拒绝。</w:t>
      </w:r>
    </w:p>
    <w:p>
      <w:pPr>
        <w:pStyle w:val="19"/>
        <w:numPr>
          <w:ilvl w:val="0"/>
          <w:numId w:val="0"/>
        </w:numPr>
        <w:ind w:firstLine="240" w:firstLineChars="100"/>
        <w:rPr>
          <w:sz w:val="24"/>
          <w:szCs w:val="24"/>
        </w:rPr>
      </w:pPr>
      <w:r>
        <w:rPr>
          <w:rFonts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19"/>
        <w:numPr>
          <w:ilvl w:val="0"/>
          <w:numId w:val="0"/>
        </w:numPr>
        <w:ind w:firstLine="234" w:firstLineChars="97"/>
        <w:rPr>
          <w:b/>
          <w:sz w:val="24"/>
          <w:szCs w:val="24"/>
        </w:rPr>
      </w:pPr>
      <w:r>
        <w:rPr>
          <w:rFonts w:hint="eastAsia"/>
          <w:b/>
          <w:sz w:val="24"/>
          <w:szCs w:val="24"/>
        </w:rPr>
        <w:t xml:space="preserve">  8.投标文件的签署及其他规定</w:t>
      </w:r>
    </w:p>
    <w:p>
      <w:pPr>
        <w:pStyle w:val="19"/>
        <w:numPr>
          <w:ilvl w:val="0"/>
          <w:numId w:val="0"/>
        </w:numPr>
        <w:ind w:firstLine="240" w:firstLineChars="100"/>
        <w:rPr>
          <w:sz w:val="24"/>
          <w:szCs w:val="24"/>
        </w:rPr>
      </w:pPr>
      <w:r>
        <w:rPr>
          <w:rFonts w:hint="eastAsia"/>
          <w:sz w:val="24"/>
          <w:szCs w:val="24"/>
        </w:rPr>
        <w:t xml:space="preserve">  8.1 组成投标文件的各项文件均应遵守本条。</w:t>
      </w:r>
    </w:p>
    <w:p>
      <w:pPr>
        <w:pStyle w:val="19"/>
        <w:numPr>
          <w:ilvl w:val="0"/>
          <w:numId w:val="0"/>
        </w:numPr>
        <w:ind w:firstLine="240" w:firstLineChars="100"/>
        <w:rPr>
          <w:sz w:val="24"/>
          <w:szCs w:val="24"/>
        </w:rPr>
      </w:pPr>
      <w:r>
        <w:rPr>
          <w:rFonts w:hint="eastAsia"/>
          <w:sz w:val="24"/>
          <w:szCs w:val="24"/>
        </w:rPr>
        <w:t xml:space="preserve">  8.2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pPr>
        <w:pStyle w:val="19"/>
        <w:numPr>
          <w:ilvl w:val="0"/>
          <w:numId w:val="0"/>
        </w:numPr>
        <w:ind w:firstLine="240" w:firstLineChars="100"/>
        <w:rPr>
          <w:sz w:val="24"/>
          <w:szCs w:val="24"/>
        </w:rPr>
      </w:pPr>
      <w:r>
        <w:rPr>
          <w:rFonts w:hint="eastAsia"/>
          <w:sz w:val="24"/>
          <w:szCs w:val="24"/>
        </w:rPr>
        <w:t xml:space="preserve">  8.3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19"/>
        <w:numPr>
          <w:ilvl w:val="0"/>
          <w:numId w:val="0"/>
        </w:numPr>
        <w:ind w:firstLine="240" w:firstLineChars="100"/>
        <w:rPr>
          <w:kern w:val="2"/>
          <w:sz w:val="24"/>
          <w:szCs w:val="24"/>
        </w:rPr>
      </w:pPr>
      <w:r>
        <w:rPr>
          <w:rFonts w:hint="eastAsia"/>
          <w:kern w:val="2"/>
          <w:sz w:val="24"/>
          <w:szCs w:val="24"/>
        </w:rPr>
        <w:t xml:space="preserve">  8.4 </w:t>
      </w:r>
      <w:r>
        <w:rPr>
          <w:rFonts w:hint="eastAsia"/>
          <w:b/>
          <w:kern w:val="2"/>
          <w:sz w:val="24"/>
          <w:szCs w:val="24"/>
        </w:rPr>
        <w:t>投标文件一式5份，其中正本1份，副本4份。</w:t>
      </w:r>
    </w:p>
    <w:p>
      <w:pPr>
        <w:pStyle w:val="19"/>
        <w:numPr>
          <w:ilvl w:val="0"/>
          <w:numId w:val="0"/>
        </w:numPr>
        <w:ind w:firstLine="240" w:firstLineChars="100"/>
        <w:rPr>
          <w:sz w:val="24"/>
          <w:szCs w:val="24"/>
        </w:rPr>
      </w:pPr>
      <w:r>
        <w:rPr>
          <w:rFonts w:hint="eastAsia"/>
          <w:sz w:val="24"/>
          <w:szCs w:val="24"/>
        </w:rPr>
        <w:t xml:space="preserve">  8.5 投标文件的正本必须用不褪色的黑色签字笔填写或打印，注明“正本”字样，并由投标人的法定代表人或投标人代表签字。</w:t>
      </w:r>
    </w:p>
    <w:p>
      <w:pPr>
        <w:pStyle w:val="19"/>
        <w:numPr>
          <w:ilvl w:val="0"/>
          <w:numId w:val="0"/>
        </w:numPr>
        <w:ind w:firstLine="240" w:firstLineChars="100"/>
        <w:rPr>
          <w:sz w:val="24"/>
          <w:szCs w:val="24"/>
        </w:rPr>
      </w:pPr>
      <w:r>
        <w:rPr>
          <w:rFonts w:hint="eastAsia"/>
          <w:sz w:val="24"/>
          <w:szCs w:val="24"/>
        </w:rPr>
        <w:t xml:space="preserve">  8.6 投标文件应字迹清楚、内容齐全、不得涂改和增删。如果有修改错漏处，修改处须有投标人公章及法定代表人或投标人代表签字。</w:t>
      </w:r>
    </w:p>
    <w:p>
      <w:pPr>
        <w:pStyle w:val="19"/>
        <w:numPr>
          <w:ilvl w:val="0"/>
          <w:numId w:val="0"/>
        </w:numPr>
        <w:ind w:firstLine="240" w:firstLineChars="100"/>
        <w:rPr>
          <w:sz w:val="24"/>
          <w:szCs w:val="24"/>
        </w:rPr>
      </w:pPr>
      <w:r>
        <w:rPr>
          <w:rFonts w:hint="eastAsia"/>
          <w:sz w:val="24"/>
          <w:szCs w:val="24"/>
        </w:rPr>
        <w:t xml:space="preserve">  8.7因投标文件字迹潦草或表达不清所引起的不利后果由投标人承担。</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pPr>
        <w:pStyle w:val="19"/>
        <w:numPr>
          <w:ilvl w:val="0"/>
          <w:numId w:val="0"/>
        </w:numPr>
        <w:tabs>
          <w:tab w:val="left" w:pos="480"/>
        </w:tabs>
        <w:ind w:firstLine="482" w:firstLineChars="200"/>
        <w:rPr>
          <w:b/>
          <w:sz w:val="24"/>
          <w:szCs w:val="24"/>
        </w:rPr>
      </w:pPr>
      <w:r>
        <w:rPr>
          <w:rFonts w:hint="eastAsia"/>
          <w:b/>
          <w:sz w:val="24"/>
          <w:szCs w:val="24"/>
        </w:rPr>
        <w:t>1.投标文件的密封及标记</w:t>
      </w:r>
    </w:p>
    <w:p>
      <w:pPr>
        <w:pStyle w:val="19"/>
        <w:numPr>
          <w:ilvl w:val="0"/>
          <w:numId w:val="0"/>
        </w:numPr>
        <w:tabs>
          <w:tab w:val="left" w:pos="0"/>
        </w:tabs>
        <w:ind w:left="420" w:leftChars="200"/>
        <w:rPr>
          <w:sz w:val="24"/>
          <w:szCs w:val="24"/>
        </w:rPr>
      </w:pPr>
      <w:r>
        <w:rPr>
          <w:rFonts w:hint="eastAsia"/>
          <w:sz w:val="24"/>
          <w:szCs w:val="24"/>
        </w:rPr>
        <w:t>1.1投标文件应按以下方法分别装袋密封：</w:t>
      </w:r>
    </w:p>
    <w:p>
      <w:pPr>
        <w:ind w:firstLine="480" w:firstLineChars="200"/>
        <w:rPr>
          <w:rFonts w:ascii="宋体" w:hAnsi="宋体"/>
          <w:sz w:val="24"/>
        </w:rPr>
      </w:pPr>
      <w:r>
        <w:rPr>
          <w:rFonts w:hint="eastAsia" w:ascii="宋体" w:hAnsi="宋体"/>
          <w:sz w:val="24"/>
        </w:rPr>
        <w:t>投标文件密封袋内装投标文件正副本共一式5份（及投标人认为有必要提交的其他资料）。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pPr>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pPr>
        <w:pStyle w:val="19"/>
        <w:numPr>
          <w:ilvl w:val="0"/>
          <w:numId w:val="0"/>
        </w:numPr>
        <w:tabs>
          <w:tab w:val="left" w:pos="480"/>
        </w:tabs>
        <w:ind w:firstLine="482" w:firstLineChars="200"/>
        <w:rPr>
          <w:b/>
          <w:sz w:val="24"/>
          <w:szCs w:val="24"/>
        </w:rPr>
      </w:pPr>
      <w:r>
        <w:rPr>
          <w:rFonts w:hint="eastAsia"/>
          <w:b/>
          <w:sz w:val="24"/>
          <w:szCs w:val="24"/>
        </w:rPr>
        <w:t>2.投标截止时间</w:t>
      </w:r>
    </w:p>
    <w:p>
      <w:pPr>
        <w:ind w:firstLine="480" w:firstLineChars="200"/>
        <w:rPr>
          <w:rFonts w:ascii="宋体" w:hAnsi="宋体"/>
          <w:sz w:val="24"/>
        </w:rPr>
      </w:pPr>
      <w:r>
        <w:rPr>
          <w:rFonts w:hint="eastAsia" w:ascii="宋体" w:hAnsi="宋体"/>
          <w:sz w:val="24"/>
        </w:rPr>
        <w:t>2.1投标文件须按照磋商文件或磋商公告规定的时间、地点送达。</w:t>
      </w:r>
    </w:p>
    <w:p>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pPr>
        <w:ind w:firstLine="480" w:firstLineChars="200"/>
        <w:rPr>
          <w:rFonts w:ascii="宋体" w:hAnsi="宋体"/>
          <w:sz w:val="24"/>
        </w:rPr>
      </w:pPr>
      <w:r>
        <w:rPr>
          <w:rFonts w:hint="eastAsia" w:ascii="宋体" w:hAnsi="宋体"/>
          <w:sz w:val="24"/>
        </w:rPr>
        <w:t>2.3拒绝接收在提交投标文件截止时间以后送达的投标文件。</w:t>
      </w:r>
    </w:p>
    <w:p>
      <w:pPr>
        <w:pStyle w:val="19"/>
        <w:numPr>
          <w:ilvl w:val="0"/>
          <w:numId w:val="0"/>
        </w:numPr>
        <w:tabs>
          <w:tab w:val="left" w:pos="480"/>
        </w:tabs>
        <w:ind w:firstLine="482" w:firstLineChars="200"/>
        <w:rPr>
          <w:b/>
          <w:sz w:val="24"/>
          <w:szCs w:val="24"/>
        </w:rPr>
      </w:pPr>
      <w:r>
        <w:rPr>
          <w:rFonts w:hint="eastAsia"/>
          <w:b/>
          <w:sz w:val="24"/>
          <w:szCs w:val="24"/>
        </w:rPr>
        <w:t>3.投标文件的修改和撤回</w:t>
      </w:r>
    </w:p>
    <w:p>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pPr>
        <w:pStyle w:val="19"/>
        <w:numPr>
          <w:ilvl w:val="0"/>
          <w:numId w:val="0"/>
        </w:numPr>
        <w:ind w:left="420" w:leftChars="200"/>
        <w:rPr>
          <w:b/>
          <w:sz w:val="24"/>
          <w:szCs w:val="24"/>
        </w:rPr>
      </w:pPr>
      <w:r>
        <w:rPr>
          <w:rFonts w:hint="eastAsia"/>
          <w:b/>
          <w:sz w:val="24"/>
          <w:szCs w:val="24"/>
        </w:rPr>
        <w:t>1.评标原则</w:t>
      </w:r>
    </w:p>
    <w:p>
      <w:pPr>
        <w:ind w:firstLine="480" w:firstLineChars="200"/>
        <w:rPr>
          <w:rFonts w:ascii="宋体" w:hAnsi="宋体"/>
          <w:sz w:val="24"/>
        </w:rPr>
      </w:pPr>
      <w:r>
        <w:rPr>
          <w:rFonts w:hint="eastAsia" w:ascii="宋体" w:hAnsi="宋体"/>
          <w:sz w:val="24"/>
        </w:rPr>
        <w:t>1.1投标人资格与资质条件是否符合磋商文件的要求；</w:t>
      </w:r>
    </w:p>
    <w:p>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pPr>
        <w:ind w:firstLine="480" w:firstLineChars="200"/>
        <w:rPr>
          <w:rFonts w:ascii="宋体" w:hAnsi="宋体"/>
          <w:sz w:val="24"/>
        </w:rPr>
      </w:pPr>
      <w:r>
        <w:rPr>
          <w:rFonts w:hint="eastAsia" w:ascii="宋体" w:hAnsi="宋体"/>
          <w:sz w:val="24"/>
        </w:rPr>
        <w:t>1.3投标人的技术文件是否合理可行；</w:t>
      </w:r>
    </w:p>
    <w:p>
      <w:pPr>
        <w:ind w:firstLine="480" w:firstLineChars="200"/>
        <w:rPr>
          <w:rFonts w:ascii="宋体" w:hAnsi="宋体"/>
          <w:sz w:val="24"/>
        </w:rPr>
      </w:pPr>
      <w:r>
        <w:rPr>
          <w:rFonts w:hint="eastAsia" w:ascii="宋体" w:hAnsi="宋体"/>
          <w:sz w:val="24"/>
        </w:rPr>
        <w:t>1.4投标人是否具备良好的经营状况和履行本项目的能力。</w:t>
      </w:r>
    </w:p>
    <w:p>
      <w:pPr>
        <w:pStyle w:val="19"/>
        <w:numPr>
          <w:ilvl w:val="0"/>
          <w:numId w:val="0"/>
        </w:numPr>
        <w:ind w:left="420" w:leftChars="200"/>
        <w:rPr>
          <w:b/>
          <w:sz w:val="24"/>
          <w:szCs w:val="24"/>
        </w:rPr>
      </w:pPr>
      <w:r>
        <w:rPr>
          <w:rFonts w:hint="eastAsia"/>
          <w:b/>
          <w:sz w:val="24"/>
          <w:szCs w:val="24"/>
        </w:rPr>
        <w:t>2.开标</w:t>
      </w:r>
    </w:p>
    <w:p>
      <w:pPr>
        <w:pStyle w:val="19"/>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19"/>
        <w:numPr>
          <w:ilvl w:val="0"/>
          <w:numId w:val="0"/>
        </w:numPr>
        <w:tabs>
          <w:tab w:val="left" w:pos="420"/>
        </w:tabs>
        <w:ind w:left="420" w:leftChars="200"/>
        <w:rPr>
          <w:b/>
          <w:sz w:val="24"/>
          <w:szCs w:val="24"/>
        </w:rPr>
      </w:pPr>
      <w:r>
        <w:rPr>
          <w:rFonts w:hint="eastAsia"/>
          <w:b/>
          <w:sz w:val="24"/>
          <w:szCs w:val="24"/>
        </w:rPr>
        <w:t>4.评标</w:t>
      </w:r>
    </w:p>
    <w:p>
      <w:pPr>
        <w:ind w:firstLine="480" w:firstLineChars="200"/>
        <w:jc w:val="left"/>
        <w:rPr>
          <w:rFonts w:ascii="宋体" w:hAnsi="宋体"/>
          <w:color w:val="000000"/>
          <w:sz w:val="24"/>
        </w:rPr>
      </w:pPr>
      <w:r>
        <w:rPr>
          <w:rFonts w:hint="eastAsia" w:ascii="宋体" w:hAnsi="宋体"/>
          <w:color w:val="000000"/>
          <w:sz w:val="24"/>
        </w:rPr>
        <w:t>在学院监督部门参与下，由我院集中采购中心负责组建的评标小组本着公平、公正的原则，采用综合评分法评标。</w:t>
      </w:r>
    </w:p>
    <w:p>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五、授予合同</w:t>
      </w:r>
    </w:p>
    <w:p>
      <w:pPr>
        <w:ind w:firstLine="482" w:firstLineChars="200"/>
        <w:rPr>
          <w:rFonts w:ascii="宋体" w:hAnsi="宋体"/>
          <w:sz w:val="24"/>
        </w:rPr>
      </w:pPr>
      <w:r>
        <w:rPr>
          <w:rFonts w:hint="eastAsia" w:ascii="宋体" w:hAnsi="宋体"/>
          <w:b/>
          <w:sz w:val="24"/>
        </w:rPr>
        <w:t>1.授予合同的顺序</w:t>
      </w:r>
    </w:p>
    <w:p>
      <w:pPr>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pPr>
        <w:pStyle w:val="19"/>
        <w:numPr>
          <w:ilvl w:val="0"/>
          <w:numId w:val="0"/>
        </w:numPr>
        <w:ind w:left="420" w:leftChars="200"/>
        <w:rPr>
          <w:b/>
          <w:sz w:val="24"/>
          <w:szCs w:val="24"/>
        </w:rPr>
      </w:pPr>
      <w:r>
        <w:rPr>
          <w:rFonts w:hint="eastAsia"/>
          <w:b/>
          <w:sz w:val="24"/>
          <w:szCs w:val="24"/>
        </w:rPr>
        <w:t>2.采购人拒绝投标的权利</w:t>
      </w:r>
    </w:p>
    <w:p>
      <w:pPr>
        <w:pStyle w:val="19"/>
        <w:numPr>
          <w:ilvl w:val="0"/>
          <w:numId w:val="0"/>
        </w:numPr>
        <w:ind w:left="420" w:leftChars="200"/>
        <w:rPr>
          <w:sz w:val="24"/>
          <w:szCs w:val="24"/>
        </w:rPr>
      </w:pPr>
      <w:r>
        <w:rPr>
          <w:rFonts w:hint="eastAsia"/>
          <w:sz w:val="24"/>
          <w:szCs w:val="24"/>
        </w:rPr>
        <w:t>出现下列情况之一时，采购人有权拒绝所有投标，并将理由通知所有投标人：</w:t>
      </w:r>
    </w:p>
    <w:p>
      <w:pPr>
        <w:ind w:firstLine="480" w:firstLineChars="200"/>
        <w:rPr>
          <w:rFonts w:ascii="宋体" w:hAnsi="宋体"/>
          <w:sz w:val="24"/>
        </w:rPr>
      </w:pPr>
      <w:r>
        <w:rPr>
          <w:rFonts w:hint="eastAsia" w:ascii="宋体" w:hAnsi="宋体"/>
          <w:sz w:val="24"/>
        </w:rPr>
        <w:t>2.1出现影响采购公正的违法、违规行为的；</w:t>
      </w:r>
    </w:p>
    <w:p>
      <w:pPr>
        <w:ind w:firstLine="480" w:firstLineChars="200"/>
        <w:rPr>
          <w:rFonts w:ascii="宋体" w:hAnsi="宋体"/>
          <w:sz w:val="24"/>
        </w:rPr>
      </w:pPr>
      <w:r>
        <w:rPr>
          <w:rFonts w:hint="eastAsia" w:ascii="宋体" w:hAnsi="宋体"/>
          <w:sz w:val="24"/>
        </w:rPr>
        <w:t>2.2投标人的投标均超过了采购预算或最高限价，采购人不能支付的；</w:t>
      </w:r>
    </w:p>
    <w:p>
      <w:pPr>
        <w:ind w:firstLine="480" w:firstLineChars="200"/>
        <w:rPr>
          <w:rFonts w:ascii="宋体" w:hAnsi="宋体"/>
          <w:sz w:val="24"/>
        </w:rPr>
      </w:pPr>
      <w:r>
        <w:rPr>
          <w:rFonts w:hint="eastAsia" w:ascii="宋体" w:hAnsi="宋体"/>
          <w:sz w:val="24"/>
        </w:rPr>
        <w:t>2.3因重大变故，采购任务取消的。</w:t>
      </w:r>
    </w:p>
    <w:p>
      <w:pPr>
        <w:pStyle w:val="19"/>
        <w:numPr>
          <w:ilvl w:val="0"/>
          <w:numId w:val="0"/>
        </w:numPr>
        <w:ind w:left="420" w:leftChars="200"/>
        <w:rPr>
          <w:b/>
          <w:sz w:val="24"/>
          <w:szCs w:val="24"/>
        </w:rPr>
      </w:pPr>
      <w:r>
        <w:rPr>
          <w:rFonts w:hint="eastAsia"/>
          <w:b/>
          <w:sz w:val="24"/>
          <w:szCs w:val="24"/>
        </w:rPr>
        <w:t>3.成交通知</w:t>
      </w:r>
    </w:p>
    <w:p>
      <w:pPr>
        <w:ind w:firstLine="480" w:firstLineChars="200"/>
        <w:jc w:val="left"/>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pPr>
        <w:ind w:firstLine="480" w:firstLineChars="200"/>
        <w:rPr>
          <w:rFonts w:ascii="宋体" w:hAnsi="宋体"/>
          <w:sz w:val="24"/>
        </w:rPr>
      </w:pPr>
      <w:r>
        <w:rPr>
          <w:rFonts w:hint="eastAsia" w:ascii="宋体" w:hAnsi="宋体"/>
          <w:sz w:val="24"/>
        </w:rPr>
        <w:t>3.2成交结果公告结束后，成交人需到集中采购中心领取成交通知书。</w:t>
      </w:r>
    </w:p>
    <w:p>
      <w:pPr>
        <w:ind w:firstLine="480" w:firstLineChars="200"/>
        <w:rPr>
          <w:rFonts w:ascii="宋体" w:hAnsi="宋体"/>
          <w:sz w:val="24"/>
        </w:rPr>
      </w:pPr>
      <w:r>
        <w:rPr>
          <w:rFonts w:hint="eastAsia" w:ascii="宋体" w:hAnsi="宋体"/>
          <w:sz w:val="24"/>
        </w:rPr>
        <w:t>3.3成交通知书是合同的组成部分。</w:t>
      </w:r>
    </w:p>
    <w:p>
      <w:pPr>
        <w:pStyle w:val="19"/>
        <w:numPr>
          <w:ilvl w:val="0"/>
          <w:numId w:val="0"/>
        </w:numPr>
        <w:ind w:left="420" w:leftChars="200"/>
        <w:rPr>
          <w:b/>
          <w:sz w:val="24"/>
          <w:szCs w:val="24"/>
        </w:rPr>
      </w:pPr>
      <w:r>
        <w:rPr>
          <w:rFonts w:hint="eastAsia"/>
          <w:b/>
          <w:sz w:val="24"/>
          <w:szCs w:val="24"/>
        </w:rPr>
        <w:t>4.签订合同</w:t>
      </w:r>
    </w:p>
    <w:p>
      <w:pPr>
        <w:ind w:firstLine="480" w:firstLineChars="200"/>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pPr>
        <w:ind w:firstLine="480" w:firstLineChars="200"/>
        <w:rPr>
          <w:rFonts w:ascii="宋体" w:hAnsi="宋体"/>
          <w:sz w:val="24"/>
        </w:rPr>
      </w:pPr>
      <w:r>
        <w:rPr>
          <w:rFonts w:hint="eastAsia" w:ascii="宋体" w:hAnsi="宋体"/>
          <w:sz w:val="24"/>
        </w:rPr>
        <w:t>4.2成交人应按照磋商文件、投标文件及评审过程中有关的澄清说明或补正文件的内容与采购人签订合同。</w:t>
      </w:r>
    </w:p>
    <w:p>
      <w:pPr>
        <w:ind w:firstLine="480" w:firstLineChars="200"/>
        <w:rPr>
          <w:rFonts w:ascii="宋体" w:hAnsi="宋体"/>
          <w:sz w:val="24"/>
        </w:rPr>
      </w:pPr>
      <w:r>
        <w:rPr>
          <w:rFonts w:hint="eastAsia" w:ascii="宋体" w:hAnsi="宋体"/>
          <w:sz w:val="24"/>
        </w:rPr>
        <w:t>4.3投标人一旦成交，签订合同后不得分包或转包，否则将被视为成交后撤回投标处理。</w:t>
      </w:r>
    </w:p>
    <w:p>
      <w:pPr>
        <w:ind w:firstLine="480" w:firstLineChars="200"/>
        <w:rPr>
          <w:rFonts w:ascii="宋体" w:hAnsi="宋体"/>
          <w:sz w:val="24"/>
        </w:rPr>
      </w:pPr>
      <w:r>
        <w:rPr>
          <w:rFonts w:hint="eastAsia" w:ascii="宋体" w:hAnsi="宋体"/>
          <w:sz w:val="24"/>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六、询问和质疑</w:t>
      </w:r>
    </w:p>
    <w:p>
      <w:pPr>
        <w:pStyle w:val="19"/>
        <w:numPr>
          <w:ilvl w:val="0"/>
          <w:numId w:val="0"/>
        </w:numPr>
        <w:ind w:left="420" w:leftChars="200"/>
        <w:rPr>
          <w:b/>
          <w:sz w:val="24"/>
          <w:szCs w:val="24"/>
        </w:rPr>
      </w:pPr>
      <w:r>
        <w:rPr>
          <w:rFonts w:hint="eastAsia"/>
          <w:b/>
          <w:sz w:val="24"/>
          <w:szCs w:val="24"/>
        </w:rPr>
        <w:t>1.投标人有权就采购程序或签订合同的事宜提出质疑</w:t>
      </w:r>
    </w:p>
    <w:p>
      <w:pPr>
        <w:ind w:firstLine="480" w:firstLineChars="200"/>
        <w:rPr>
          <w:rFonts w:ascii="宋体" w:hAnsi="宋体"/>
          <w:sz w:val="24"/>
        </w:rPr>
      </w:pPr>
      <w:r>
        <w:rPr>
          <w:rFonts w:hint="eastAsia" w:ascii="宋体" w:hAnsi="宋体"/>
          <w:sz w:val="24"/>
        </w:rPr>
        <w:t>1.1投标人对采购事项有疑问的，可以向采购人提出询问。</w:t>
      </w:r>
    </w:p>
    <w:p>
      <w:pPr>
        <w:ind w:firstLine="480" w:firstLineChars="200"/>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pPr>
        <w:ind w:firstLine="480" w:firstLineChars="200"/>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pPr>
        <w:ind w:firstLine="480" w:firstLineChars="200"/>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七、保密和披露</w:t>
      </w:r>
    </w:p>
    <w:p>
      <w:pPr>
        <w:ind w:firstLine="480" w:firstLineChars="200"/>
        <w:rPr>
          <w:rFonts w:ascii="宋体" w:hAnsi="宋体"/>
          <w:sz w:val="24"/>
        </w:rPr>
      </w:pPr>
      <w:r>
        <w:rPr>
          <w:rFonts w:hint="eastAsia" w:ascii="宋体" w:hAnsi="宋体"/>
          <w:sz w:val="24"/>
        </w:rPr>
        <w:t>1.保密和披露</w:t>
      </w:r>
    </w:p>
    <w:p>
      <w:pPr>
        <w:ind w:firstLine="480" w:firstLineChars="200"/>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pPr>
        <w:ind w:firstLine="480" w:firstLineChars="200"/>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pPr>
        <w:ind w:firstLine="480" w:firstLineChars="200"/>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八、无效标书的判定</w:t>
      </w:r>
    </w:p>
    <w:p>
      <w:pPr>
        <w:ind w:firstLine="480" w:firstLineChars="200"/>
        <w:rPr>
          <w:rFonts w:ascii="宋体" w:hAnsi="宋体"/>
          <w:sz w:val="24"/>
        </w:rPr>
      </w:pPr>
      <w:r>
        <w:rPr>
          <w:rFonts w:hint="eastAsia" w:ascii="宋体" w:hAnsi="宋体"/>
          <w:sz w:val="24"/>
        </w:rPr>
        <w:t>投标文件有下列情况之一的，应作为无效投标文件，不再参加评标：</w:t>
      </w:r>
    </w:p>
    <w:p>
      <w:pPr>
        <w:ind w:firstLine="420" w:firstLineChars="200"/>
        <w:rPr>
          <w:rFonts w:ascii="宋体" w:hAnsi="宋体"/>
          <w:sz w:val="24"/>
        </w:rPr>
      </w:pPr>
      <w:r>
        <w:rPr>
          <w:rFonts w:hint="eastAsia"/>
          <w:color w:val="000000"/>
          <w:szCs w:val="21"/>
        </w:rPr>
        <w:t xml:space="preserve"> </w:t>
      </w:r>
      <w:r>
        <w:rPr>
          <w:rFonts w:hint="eastAsia" w:ascii="宋体" w:hAnsi="宋体"/>
          <w:sz w:val="24"/>
        </w:rPr>
        <w:t>1.投标文件中的投标函未加盖投标人的公章的，或者企业法定代表人委托代理人没有合法、有效的委托书（原件）或委托书无委托代理人签字或印章的。</w:t>
      </w:r>
    </w:p>
    <w:p>
      <w:pPr>
        <w:ind w:firstLine="480" w:firstLineChars="200"/>
        <w:rPr>
          <w:rFonts w:ascii="宋体" w:hAnsi="宋体"/>
          <w:sz w:val="24"/>
        </w:rPr>
      </w:pPr>
      <w:r>
        <w:rPr>
          <w:rFonts w:hint="eastAsia" w:ascii="宋体" w:hAnsi="宋体"/>
          <w:sz w:val="24"/>
        </w:rPr>
        <w:t>2.未按采购文件要求要求缴纳相关费用的。</w:t>
      </w:r>
    </w:p>
    <w:p>
      <w:pPr>
        <w:ind w:firstLine="480" w:firstLineChars="200"/>
        <w:rPr>
          <w:rFonts w:ascii="宋体" w:hAnsi="宋体"/>
          <w:sz w:val="24"/>
        </w:rPr>
      </w:pPr>
      <w:r>
        <w:rPr>
          <w:rFonts w:hint="eastAsia" w:ascii="宋体" w:hAnsi="宋体"/>
          <w:sz w:val="24"/>
        </w:rPr>
        <w:t>3.未按采购文件要求编制，内容不全或关键字模糊、无法辨认的。</w:t>
      </w:r>
    </w:p>
    <w:p>
      <w:pPr>
        <w:ind w:firstLine="480" w:firstLineChars="200"/>
        <w:rPr>
          <w:rFonts w:ascii="宋体" w:hAnsi="宋体"/>
          <w:sz w:val="24"/>
        </w:rPr>
      </w:pPr>
      <w:r>
        <w:rPr>
          <w:rFonts w:hint="eastAsia" w:ascii="宋体" w:hAnsi="宋体"/>
          <w:sz w:val="24"/>
        </w:rPr>
        <w:t>4.投标人名称或组织机构等与原件不一致的。</w:t>
      </w:r>
    </w:p>
    <w:p>
      <w:pPr>
        <w:ind w:firstLine="480" w:firstLineChars="200"/>
        <w:rPr>
          <w:rFonts w:ascii="宋体" w:hAnsi="宋体"/>
          <w:sz w:val="24"/>
        </w:rPr>
      </w:pPr>
      <w:r>
        <w:rPr>
          <w:rFonts w:hint="eastAsia" w:ascii="宋体" w:hAnsi="宋体"/>
          <w:sz w:val="24"/>
        </w:rPr>
        <w:t>5.投标人资格条件不符合国家有关规定或采购文件要求的。</w:t>
      </w:r>
    </w:p>
    <w:p>
      <w:pPr>
        <w:ind w:firstLine="480" w:firstLineChars="200"/>
        <w:rPr>
          <w:rFonts w:ascii="宋体" w:hAnsi="宋体"/>
          <w:sz w:val="24"/>
        </w:rPr>
      </w:pPr>
      <w:r>
        <w:rPr>
          <w:rFonts w:hint="eastAsia" w:ascii="宋体" w:hAnsi="宋体"/>
          <w:sz w:val="24"/>
        </w:rPr>
        <w:t>6.投标文件载明的项目完成期限超过采购文件规定的期限。</w:t>
      </w:r>
    </w:p>
    <w:p>
      <w:pPr>
        <w:ind w:firstLine="480" w:firstLineChars="200"/>
        <w:rPr>
          <w:rFonts w:ascii="宋体" w:hAnsi="宋体"/>
          <w:sz w:val="24"/>
        </w:rPr>
      </w:pPr>
      <w:r>
        <w:rPr>
          <w:rFonts w:hint="eastAsia" w:ascii="宋体" w:hAnsi="宋体"/>
          <w:sz w:val="24"/>
        </w:rPr>
        <w:t>7.明显不符合技术规范、技术标准的要求。</w:t>
      </w:r>
    </w:p>
    <w:p>
      <w:pPr>
        <w:ind w:firstLine="480" w:firstLineChars="200"/>
        <w:rPr>
          <w:rFonts w:ascii="宋体" w:hAnsi="宋体"/>
          <w:sz w:val="24"/>
        </w:rPr>
      </w:pPr>
      <w:r>
        <w:rPr>
          <w:rFonts w:hint="eastAsia" w:ascii="宋体" w:hAnsi="宋体"/>
          <w:sz w:val="24"/>
        </w:rPr>
        <w:t>8.投标报价超过采购文件规定的采购控制价的。</w:t>
      </w:r>
    </w:p>
    <w:p>
      <w:pPr>
        <w:ind w:firstLine="480" w:firstLineChars="200"/>
        <w:rPr>
          <w:rFonts w:ascii="宋体" w:hAnsi="宋体"/>
          <w:sz w:val="24"/>
        </w:rPr>
      </w:pPr>
      <w:r>
        <w:rPr>
          <w:rFonts w:hint="eastAsia" w:ascii="宋体" w:hAnsi="宋体"/>
          <w:sz w:val="24"/>
        </w:rPr>
        <w:t>9.不同投标人的投标文件出现了评标小组认为不应当雷同的情况。</w:t>
      </w:r>
    </w:p>
    <w:p>
      <w:pPr>
        <w:ind w:firstLine="480" w:firstLineChars="200"/>
        <w:rPr>
          <w:rFonts w:ascii="宋体" w:hAnsi="宋体"/>
          <w:sz w:val="24"/>
        </w:rPr>
      </w:pPr>
      <w:r>
        <w:rPr>
          <w:rFonts w:hint="eastAsia" w:ascii="宋体" w:hAnsi="宋体"/>
          <w:sz w:val="24"/>
        </w:rPr>
        <w:t>10.投标文件提出了不能满足采购文件要求或采购人不能接受的支付办法。</w:t>
      </w:r>
    </w:p>
    <w:p>
      <w:pPr>
        <w:ind w:firstLine="480" w:firstLineChars="200"/>
        <w:rPr>
          <w:rFonts w:ascii="宋体" w:hAnsi="宋体"/>
          <w:sz w:val="24"/>
        </w:rPr>
      </w:pPr>
      <w:r>
        <w:rPr>
          <w:rFonts w:hint="eastAsia" w:ascii="宋体" w:hAnsi="宋体"/>
          <w:sz w:val="24"/>
        </w:rPr>
        <w:t>11.串通投标、以行贿手段谋取中标或者以其他弄虚作假方式投标的。</w:t>
      </w:r>
    </w:p>
    <w:p>
      <w:pPr>
        <w:ind w:left="480"/>
        <w:rPr>
          <w:rFonts w:ascii="宋体" w:hAnsi="宋体"/>
          <w:sz w:val="24"/>
        </w:rPr>
      </w:pPr>
      <w:r>
        <w:rPr>
          <w:rFonts w:hint="eastAsia" w:ascii="宋体" w:hAnsi="宋体"/>
          <w:sz w:val="24"/>
        </w:rPr>
        <w:t>12.经评标小组认定投标人的投标报价低于成本价的。</w:t>
      </w:r>
    </w:p>
    <w:p>
      <w:pPr>
        <w:ind w:left="480"/>
        <w:rPr>
          <w:rFonts w:ascii="宋体" w:hAnsi="宋体"/>
          <w:sz w:val="24"/>
        </w:rPr>
      </w:pPr>
      <w:r>
        <w:rPr>
          <w:rFonts w:hint="eastAsia" w:ascii="宋体" w:hAnsi="宋体"/>
          <w:sz w:val="24"/>
        </w:rPr>
        <w:t>13.投标文件载明的货物包装方式、检验标准和方法等不符合招标文件的要求；</w:t>
      </w:r>
    </w:p>
    <w:p>
      <w:pPr>
        <w:ind w:left="480"/>
        <w:rPr>
          <w:rFonts w:ascii="宋体" w:hAnsi="宋体"/>
          <w:sz w:val="24"/>
        </w:rPr>
      </w:pPr>
      <w:r>
        <w:rPr>
          <w:rFonts w:hint="eastAsia" w:ascii="宋体" w:hAnsi="宋体"/>
          <w:sz w:val="24"/>
        </w:rPr>
        <w:t>14.投标文件提出了不能满足招标文件要求或招标人不能接受的工程验收、计量、价款结算支付办法；</w:t>
      </w:r>
    </w:p>
    <w:p>
      <w:pPr>
        <w:ind w:left="480"/>
        <w:jc w:val="center"/>
        <w:rPr>
          <w:b/>
          <w:bCs/>
          <w:sz w:val="32"/>
          <w:szCs w:val="32"/>
        </w:rPr>
      </w:pPr>
      <w:r>
        <w:rPr>
          <w:rFonts w:ascii="宋体" w:hAnsi="宋体"/>
          <w:sz w:val="24"/>
          <w:u w:val="single"/>
        </w:rPr>
        <w:br w:type="page"/>
      </w:r>
      <w:r>
        <w:rPr>
          <w:rFonts w:hint="eastAsia"/>
          <w:b/>
          <w:bCs/>
          <w:sz w:val="32"/>
          <w:szCs w:val="32"/>
        </w:rPr>
        <w:t>第二章  项目概况及服务要求</w:t>
      </w:r>
    </w:p>
    <w:p>
      <w:pPr>
        <w:ind w:firstLine="482" w:firstLineChars="200"/>
        <w:rPr>
          <w:rFonts w:ascii="宋体" w:hAnsi="宋体"/>
          <w:b/>
          <w:bCs/>
          <w:sz w:val="24"/>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sz w:val="24"/>
        </w:rPr>
      </w:pPr>
      <w:r>
        <w:rPr>
          <w:rFonts w:ascii="宋体" w:hAnsi="宋体"/>
          <w:b/>
          <w:sz w:val="24"/>
        </w:rPr>
        <w:t>一、项目名称</w:t>
      </w:r>
      <w:r>
        <w:rPr>
          <w:rFonts w:ascii="宋体" w:hAnsi="宋体"/>
          <w:sz w:val="24"/>
        </w:rPr>
        <w:t>：</w:t>
      </w:r>
      <w:r>
        <w:rPr>
          <w:rFonts w:hint="eastAsia" w:ascii="宋体" w:hAnsi="宋体" w:cs="宋体"/>
          <w:kern w:val="0"/>
          <w:sz w:val="24"/>
        </w:rPr>
        <w:t>江苏师范大学科文学院潘安湖校区新能源汽车充电桩建设及运营服务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b/>
          <w:sz w:val="24"/>
        </w:rPr>
      </w:pPr>
      <w:r>
        <w:rPr>
          <w:rFonts w:hint="eastAsia" w:ascii="宋体" w:hAnsi="宋体"/>
          <w:b/>
          <w:sz w:val="24"/>
        </w:rPr>
        <w:t>二、充电桩建设需求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1.在招标人指定的4个区域安装1台不低于120KW快充充电桩（双枪），20台不低于7KW慢充充电桩，共计22个智能充电位。</w:t>
      </w:r>
      <w:bookmarkStart w:id="1" w:name="_Toc25772"/>
      <w:r>
        <w:rPr>
          <w:rFonts w:hint="eastAsia" w:ascii="宋体" w:hAnsi="宋体" w:cs="宋体"/>
          <w:kern w:val="0"/>
          <w:sz w:val="24"/>
        </w:rPr>
        <w:t>实际建设过程中，招标人可根据实际情况做适当增减。(具体见下表</w:t>
      </w:r>
      <w:r>
        <w:rPr>
          <w:rFonts w:ascii="宋体" w:hAnsi="宋体" w:cs="宋体"/>
          <w:kern w:val="0"/>
          <w:sz w:val="24"/>
        </w:rPr>
        <w:t>)</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453"/>
        <w:gridCol w:w="936"/>
        <w:gridCol w:w="936"/>
        <w:gridCol w:w="1656"/>
        <w:gridCol w:w="111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27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安装地点</w:t>
            </w:r>
          </w:p>
        </w:tc>
        <w:tc>
          <w:tcPr>
            <w:tcW w:w="145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充电桩功率</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充电桩台数（台）</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提供充电位数（个）</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电缆规格（平方毫米）</w:t>
            </w:r>
          </w:p>
          <w:p>
            <w:pPr>
              <w:widowControl/>
              <w:jc w:val="center"/>
              <w:rPr>
                <w:rFonts w:ascii="宋体" w:hAnsi="宋体" w:cs="宋体"/>
                <w:kern w:val="0"/>
                <w:sz w:val="24"/>
              </w:rPr>
            </w:pPr>
            <w:r>
              <w:rPr>
                <w:rFonts w:hint="eastAsia" w:ascii="宋体" w:hAnsi="宋体" w:cs="宋体"/>
                <w:kern w:val="0"/>
                <w:szCs w:val="21"/>
              </w:rPr>
              <w:t>（不低于以下标准，要求有一定冗余）</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电缆数量（米）</w:t>
            </w:r>
          </w:p>
          <w:p>
            <w:pPr>
              <w:widowControl/>
              <w:jc w:val="center"/>
              <w:rPr>
                <w:rFonts w:ascii="宋体" w:hAnsi="宋体" w:cs="宋体"/>
                <w:kern w:val="0"/>
                <w:szCs w:val="21"/>
              </w:rPr>
            </w:pPr>
            <w:r>
              <w:rPr>
                <w:rFonts w:hint="eastAsia" w:ascii="宋体" w:hAnsi="宋体" w:cs="宋体"/>
                <w:kern w:val="0"/>
                <w:szCs w:val="21"/>
              </w:rPr>
              <w:t>（供参考，具体以实际为准）</w:t>
            </w:r>
          </w:p>
        </w:tc>
        <w:tc>
          <w:tcPr>
            <w:tcW w:w="141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办公楼地下停车场</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YJV4*35+1*16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97</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color w:val="auto"/>
                <w:kern w:val="0"/>
                <w:sz w:val="24"/>
              </w:rPr>
              <w:t>挂墙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5"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金工实训中心东停车场</w:t>
            </w:r>
          </w:p>
        </w:tc>
        <w:tc>
          <w:tcPr>
            <w:tcW w:w="1453"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快充（≥120KW，双枪）</w:t>
            </w:r>
          </w:p>
        </w:tc>
        <w:tc>
          <w:tcPr>
            <w:tcW w:w="93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3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65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YJV4*95+1*50</w:t>
            </w:r>
          </w:p>
        </w:tc>
        <w:tc>
          <w:tcPr>
            <w:tcW w:w="111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150</w:t>
            </w:r>
          </w:p>
        </w:tc>
        <w:tc>
          <w:tcPr>
            <w:tcW w:w="141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需做基础，配备遮阳、防雨蓬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金工实训中心东停车场</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YJV4*50+1*25</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150</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需做基础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教一楼南停车位</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YJV4*25+1*16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150</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需做基础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教四楼南停车位</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YJV4*25+1*16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70</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需做基础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1453" w:type="dxa"/>
            <w:vAlign w:val="center"/>
          </w:tcPr>
          <w:p>
            <w:pPr>
              <w:widowControl/>
              <w:jc w:val="left"/>
              <w:rPr>
                <w:rFonts w:ascii="宋体" w:hAnsi="宋体" w:cs="宋体"/>
                <w:kern w:val="0"/>
                <w:sz w:val="24"/>
              </w:rPr>
            </w:pP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21</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656" w:type="dxa"/>
            <w:shd w:val="clear" w:color="auto" w:fill="auto"/>
            <w:vAlign w:val="center"/>
          </w:tcPr>
          <w:p>
            <w:pPr>
              <w:widowControl/>
              <w:jc w:val="center"/>
              <w:rPr>
                <w:rFonts w:ascii="宋体" w:hAnsi="宋体" w:cs="宋体"/>
                <w:kern w:val="0"/>
                <w:sz w:val="24"/>
              </w:rPr>
            </w:pPr>
          </w:p>
        </w:tc>
        <w:tc>
          <w:tcPr>
            <w:tcW w:w="1116" w:type="dxa"/>
            <w:shd w:val="clear" w:color="auto" w:fill="auto"/>
            <w:vAlign w:val="center"/>
          </w:tcPr>
          <w:p>
            <w:pPr>
              <w:widowControl/>
              <w:jc w:val="center"/>
              <w:rPr>
                <w:rFonts w:ascii="宋体" w:hAnsi="宋体" w:cs="宋体"/>
                <w:kern w:val="0"/>
                <w:sz w:val="24"/>
              </w:rPr>
            </w:pPr>
          </w:p>
        </w:tc>
        <w:tc>
          <w:tcPr>
            <w:tcW w:w="1417" w:type="dxa"/>
            <w:shd w:val="clear" w:color="auto" w:fill="auto"/>
            <w:vAlign w:val="center"/>
          </w:tcPr>
          <w:p>
            <w:pPr>
              <w:widowControl/>
              <w:jc w:val="center"/>
              <w:rPr>
                <w:rFonts w:ascii="宋体" w:hAnsi="宋体" w:cs="宋体"/>
                <w:kern w:val="0"/>
                <w:sz w:val="24"/>
              </w:rPr>
            </w:pPr>
          </w:p>
        </w:tc>
      </w:tr>
      <w:bookmarkEnd w:id="1"/>
    </w:tbl>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
          <w:kern w:val="0"/>
          <w:sz w:val="24"/>
        </w:rPr>
      </w:pPr>
      <w:r>
        <w:rPr>
          <w:rFonts w:hint="eastAsia" w:ascii="宋体" w:hAnsi="宋体"/>
          <w:kern w:val="0"/>
          <w:sz w:val="24"/>
        </w:rPr>
        <w:t>2.</w:t>
      </w:r>
      <w:r>
        <w:rPr>
          <w:rFonts w:hint="eastAsia" w:ascii="宋体" w:hAnsi="宋体"/>
          <w:b/>
          <w:kern w:val="0"/>
          <w:sz w:val="24"/>
        </w:rPr>
        <w:t>建设模式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bCs/>
          <w:kern w:val="0"/>
          <w:sz w:val="24"/>
        </w:rPr>
        <w:t>（1）招标人提供相关接电地点</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（2）投标人</w:t>
      </w:r>
      <w:r>
        <w:rPr>
          <w:rFonts w:ascii="宋体" w:hAnsi="宋体"/>
          <w:kern w:val="0"/>
          <w:sz w:val="24"/>
        </w:rPr>
        <w:t>提供充电桩</w:t>
      </w:r>
      <w:r>
        <w:rPr>
          <w:rFonts w:hint="eastAsia" w:ascii="宋体" w:hAnsi="宋体"/>
          <w:kern w:val="0"/>
          <w:sz w:val="24"/>
        </w:rPr>
        <w:t>设备及所有辅材，包括设备购置、运输、建设施工、电缆及配电箱、计量电表、预埋基础、快充桩篷、</w:t>
      </w:r>
      <w:r>
        <w:rPr>
          <w:rFonts w:ascii="宋体" w:hAnsi="宋体"/>
          <w:kern w:val="0"/>
          <w:sz w:val="24"/>
        </w:rPr>
        <w:t>安装</w:t>
      </w:r>
      <w:r>
        <w:rPr>
          <w:rFonts w:hint="eastAsia" w:ascii="宋体" w:hAnsi="宋体"/>
          <w:kern w:val="0"/>
          <w:sz w:val="24"/>
        </w:rPr>
        <w:t>、</w:t>
      </w:r>
      <w:r>
        <w:rPr>
          <w:rFonts w:ascii="宋体" w:hAnsi="宋体"/>
          <w:kern w:val="0"/>
          <w:sz w:val="24"/>
        </w:rPr>
        <w:t>调试直至交付使用</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（3）合同到期后，投标人自行拆除所有设备设施，并恢复场地。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sz w:val="24"/>
        </w:rPr>
        <w:t>3.</w:t>
      </w:r>
      <w:r>
        <w:rPr>
          <w:rFonts w:ascii="宋体" w:hAnsi="宋体"/>
          <w:sz w:val="24"/>
        </w:rPr>
        <w:t>投标人须对所投产品、方案、技术、服务等拥有合法的占有和处置权</w:t>
      </w:r>
      <w:r>
        <w:rPr>
          <w:rFonts w:hint="eastAsia" w:ascii="宋体" w:hAnsi="宋体"/>
          <w:sz w:val="24"/>
        </w:rPr>
        <w:t>。</w:t>
      </w:r>
      <w:r>
        <w:rPr>
          <w:rFonts w:ascii="宋体" w:hAnsi="宋体"/>
          <w:sz w:val="24"/>
        </w:rPr>
        <w:t>在法律范围内，如果出现文字、图片、商标和技术等侵权行为而造成的纠纷和产生的一切费用，</w:t>
      </w:r>
      <w:r>
        <w:rPr>
          <w:rFonts w:hint="eastAsia" w:ascii="宋体" w:hAnsi="宋体"/>
          <w:sz w:val="24"/>
        </w:rPr>
        <w:t>招标</w:t>
      </w:r>
      <w:r>
        <w:rPr>
          <w:rFonts w:ascii="宋体" w:hAnsi="宋体"/>
          <w:sz w:val="24"/>
        </w:rPr>
        <w:t>人概不负责，由此给</w:t>
      </w:r>
      <w:r>
        <w:rPr>
          <w:rFonts w:hint="eastAsia" w:ascii="宋体" w:hAnsi="宋体"/>
          <w:sz w:val="24"/>
        </w:rPr>
        <w:t>招标</w:t>
      </w:r>
      <w:r>
        <w:rPr>
          <w:rFonts w:ascii="宋体" w:hAnsi="宋体"/>
          <w:sz w:val="24"/>
        </w:rPr>
        <w:t>人造成损失的，</w:t>
      </w:r>
      <w:r>
        <w:rPr>
          <w:rFonts w:hint="eastAsia" w:ascii="宋体" w:hAnsi="宋体"/>
          <w:sz w:val="24"/>
        </w:rPr>
        <w:t>中标人</w:t>
      </w:r>
      <w:r>
        <w:rPr>
          <w:rFonts w:ascii="宋体" w:hAnsi="宋体"/>
          <w:sz w:val="24"/>
        </w:rPr>
        <w:t>应承担相应后果，并负责赔偿。</w:t>
      </w:r>
      <w:r>
        <w:rPr>
          <w:rFonts w:hint="eastAsia" w:ascii="宋体" w:hAnsi="宋体"/>
          <w:sz w:val="24"/>
        </w:rPr>
        <w:t>中标人</w:t>
      </w:r>
      <w:r>
        <w:rPr>
          <w:rFonts w:ascii="宋体" w:hAnsi="宋体"/>
          <w:sz w:val="24"/>
        </w:rPr>
        <w:t>为执行本项目合同而提供的技术资料等归</w:t>
      </w:r>
      <w:r>
        <w:rPr>
          <w:rFonts w:hint="eastAsia" w:ascii="宋体" w:hAnsi="宋体"/>
          <w:sz w:val="24"/>
        </w:rPr>
        <w:t>招标</w:t>
      </w:r>
      <w:r>
        <w:rPr>
          <w:rFonts w:ascii="宋体" w:hAnsi="宋体"/>
          <w:sz w:val="24"/>
        </w:rPr>
        <w:t>人所有。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cs="宋体"/>
          <w:b/>
          <w:bCs w:val="0"/>
          <w:color w:val="auto"/>
          <w:sz w:val="24"/>
        </w:rPr>
      </w:pPr>
      <w:r>
        <w:rPr>
          <w:rFonts w:hint="eastAsia" w:ascii="宋体" w:hAnsi="宋体" w:cs="宋体"/>
          <w:b/>
          <w:bCs w:val="0"/>
          <w:color w:val="auto"/>
          <w:sz w:val="24"/>
        </w:rPr>
        <w:t xml:space="preserve">特别提醒：本项仅对在校车辆提供充电服务，不面向校外车辆进校充电。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bCs/>
          <w:sz w:val="24"/>
        </w:rPr>
      </w:pPr>
      <w:r>
        <w:rPr>
          <w:rFonts w:hint="eastAsia" w:ascii="宋体" w:hAnsi="宋体"/>
          <w:b/>
          <w:sz w:val="24"/>
        </w:rPr>
        <w:t>三、设备技术要求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s="微软雅黑"/>
          <w:sz w:val="24"/>
        </w:rPr>
      </w:pPr>
      <w:r>
        <w:rPr>
          <w:rFonts w:hint="eastAsia" w:ascii="宋体" w:hAnsi="宋体"/>
          <w:bCs/>
          <w:sz w:val="24"/>
        </w:rPr>
        <w:t>1.所提供的充电桩应符合现行国家标准。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bookmarkStart w:id="2" w:name="_Toc3813"/>
      <w:r>
        <w:rPr>
          <w:rFonts w:hint="eastAsia" w:ascii="宋体" w:hAnsi="宋体"/>
          <w:kern w:val="0"/>
          <w:sz w:val="24"/>
        </w:rPr>
        <w:t>2.额定功率：慢充桩</w:t>
      </w:r>
      <w:r>
        <w:rPr>
          <w:rFonts w:hint="eastAsia" w:ascii="宋体" w:hAnsi="宋体" w:cs="宋体"/>
          <w:kern w:val="0"/>
          <w:sz w:val="24"/>
        </w:rPr>
        <w:t>≥7KW</w:t>
      </w:r>
      <w:r>
        <w:rPr>
          <w:rFonts w:hint="eastAsia" w:ascii="宋体" w:hAnsi="宋体"/>
          <w:kern w:val="0"/>
          <w:sz w:val="24"/>
        </w:rPr>
        <w:t>；快充桩</w:t>
      </w:r>
      <w:r>
        <w:rPr>
          <w:rFonts w:hint="eastAsia" w:ascii="宋体" w:hAnsi="宋体" w:cs="宋体"/>
          <w:kern w:val="0"/>
          <w:sz w:val="24"/>
        </w:rPr>
        <w:t>≥120KW（双枪）。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3.枪线长度≥5米。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s="宋体"/>
          <w:b w:val="0"/>
          <w:bCs w:val="0"/>
          <w:color w:val="auto"/>
          <w:sz w:val="24"/>
        </w:rPr>
      </w:pPr>
      <w:r>
        <w:rPr>
          <w:rFonts w:hint="eastAsia" w:ascii="宋体" w:hAnsi="宋体" w:cs="宋体"/>
          <w:b w:val="0"/>
          <w:bCs w:val="0"/>
          <w:color w:val="auto"/>
          <w:sz w:val="24"/>
        </w:rPr>
        <w:t xml:space="preserve">4.防护等级：≥IP54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s="宋体"/>
          <w:b w:val="0"/>
          <w:bCs w:val="0"/>
          <w:color w:val="auto"/>
          <w:sz w:val="24"/>
        </w:rPr>
      </w:pPr>
      <w:r>
        <w:rPr>
          <w:rFonts w:hint="eastAsia" w:ascii="宋体" w:hAnsi="宋体" w:cs="宋体"/>
          <w:b w:val="0"/>
          <w:bCs w:val="0"/>
          <w:color w:val="auto"/>
          <w:sz w:val="24"/>
        </w:rPr>
        <w:t>5.各类主材、辅材。质量合格，均为全新正品。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kern w:val="0"/>
          <w:sz w:val="24"/>
        </w:rPr>
      </w:pPr>
      <w:r>
        <w:rPr>
          <w:rFonts w:hint="eastAsia" w:ascii="宋体" w:hAnsi="宋体"/>
          <w:b/>
          <w:kern w:val="0"/>
          <w:sz w:val="24"/>
        </w:rPr>
        <w:t>四、使用功能要求</w:t>
      </w:r>
      <w:bookmarkEnd w:id="2"/>
      <w:bookmarkStart w:id="3" w:name="_Toc16261"/>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1.充电桩能够兼容主流电动汽车、</w:t>
      </w:r>
      <w:r>
        <w:rPr>
          <w:rFonts w:ascii="宋体" w:hAnsi="宋体"/>
          <w:kern w:val="0"/>
          <w:sz w:val="24"/>
        </w:rPr>
        <w:t>混合动力汽车充电需求</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ascii="宋体" w:hAnsi="宋体"/>
          <w:kern w:val="0"/>
          <w:sz w:val="24"/>
        </w:rPr>
      </w:pPr>
      <w:r>
        <w:rPr>
          <w:rFonts w:hint="eastAsia" w:ascii="宋体" w:hAnsi="宋体"/>
          <w:kern w:val="0"/>
          <w:sz w:val="24"/>
        </w:rPr>
        <w:t>2.充电设施、设备布局设计合理灵活，方便使用，提高使用率，尽量减少对现有道路、设施等的使用产生影响。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Cs/>
          <w:kern w:val="0"/>
          <w:sz w:val="24"/>
        </w:rPr>
      </w:pPr>
      <w:r>
        <w:rPr>
          <w:rFonts w:hint="eastAsia" w:ascii="宋体" w:hAnsi="宋体"/>
          <w:kern w:val="0"/>
          <w:sz w:val="24"/>
        </w:rPr>
        <w:t>3</w:t>
      </w:r>
      <w:r>
        <w:rPr>
          <w:rFonts w:ascii="宋体" w:hAnsi="宋体"/>
          <w:kern w:val="0"/>
          <w:sz w:val="24"/>
        </w:rPr>
        <w:t>.</w:t>
      </w:r>
      <w:r>
        <w:rPr>
          <w:rFonts w:hint="eastAsia" w:ascii="宋体" w:hAnsi="宋体"/>
          <w:kern w:val="0"/>
          <w:sz w:val="24"/>
        </w:rPr>
        <w:t>系统要求：充电桩必须是以平台化管理的大数据架构系统；可查看站点信息、用户信息、设备信息、设备在线状态、用电量、充电起止时间、消费情况、充电状态、结束类型等；</w:t>
      </w:r>
      <w:r>
        <w:rPr>
          <w:rFonts w:hint="eastAsia" w:ascii="宋体" w:hAnsi="宋体"/>
          <w:bCs/>
          <w:kern w:val="0"/>
          <w:sz w:val="24"/>
        </w:rPr>
        <w:t>电量充满后系统发送提醒短信。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kern w:val="0"/>
          <w:sz w:val="24"/>
        </w:rPr>
        <w:t>4</w:t>
      </w:r>
      <w:r>
        <w:rPr>
          <w:rFonts w:ascii="宋体" w:hAnsi="宋体"/>
          <w:kern w:val="0"/>
          <w:sz w:val="24"/>
        </w:rPr>
        <w:t>.</w:t>
      </w:r>
      <w:r>
        <w:rPr>
          <w:rFonts w:hint="eastAsia" w:ascii="宋体" w:hAnsi="宋体"/>
          <w:kern w:val="0"/>
          <w:sz w:val="24"/>
        </w:rPr>
        <w:t>识别要求：</w:t>
      </w:r>
      <w:r>
        <w:rPr>
          <w:rFonts w:hint="eastAsia" w:ascii="宋体" w:hAnsi="宋体"/>
          <w:sz w:val="24"/>
        </w:rPr>
        <w:t>智能识别不同车型的充电功率、充电时长和结束等状态。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计量计费要求：内置独立电能计量装置，能计量单次和累计的充电电能并将数据上传至平台。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sz w:val="24"/>
        </w:rPr>
        <w:t>6</w:t>
      </w:r>
      <w:r>
        <w:rPr>
          <w:rFonts w:ascii="宋体" w:hAnsi="宋体"/>
          <w:sz w:val="24"/>
        </w:rPr>
        <w:t>.</w:t>
      </w:r>
      <w:r>
        <w:rPr>
          <w:rFonts w:hint="eastAsia" w:ascii="宋体" w:hAnsi="宋体"/>
          <w:sz w:val="24"/>
        </w:rPr>
        <w:t>安全保护要求：充电桩具备检测功能，出现过载、过压、高温、漏电等情况时启动充电保护并自动断电，系统推送账单信息至客户端。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i/>
          <w:iCs/>
          <w:sz w:val="24"/>
        </w:rPr>
      </w:pPr>
      <w:r>
        <w:rPr>
          <w:rFonts w:hint="eastAsia" w:ascii="宋体" w:hAnsi="宋体"/>
          <w:bCs/>
          <w:kern w:val="0"/>
          <w:sz w:val="24"/>
        </w:rPr>
        <w:t>7</w:t>
      </w:r>
      <w:r>
        <w:rPr>
          <w:rFonts w:ascii="宋体" w:hAnsi="宋体"/>
          <w:bCs/>
          <w:kern w:val="0"/>
          <w:sz w:val="24"/>
        </w:rPr>
        <w:t>.</w:t>
      </w:r>
      <w:r>
        <w:rPr>
          <w:rFonts w:hint="eastAsia" w:ascii="宋体" w:hAnsi="宋体"/>
          <w:bCs/>
          <w:kern w:val="0"/>
          <w:sz w:val="24"/>
        </w:rPr>
        <w:t>支付功能要求：</w:t>
      </w:r>
      <w:r>
        <w:rPr>
          <w:rFonts w:hint="eastAsia" w:ascii="宋体" w:hAnsi="宋体"/>
          <w:sz w:val="24"/>
        </w:rPr>
        <w:t>支持(微信、支付宝等</w:t>
      </w:r>
      <w:r>
        <w:rPr>
          <w:rFonts w:ascii="宋体" w:hAnsi="宋体"/>
          <w:sz w:val="24"/>
        </w:rPr>
        <w:t>)</w:t>
      </w:r>
      <w:r>
        <w:rPr>
          <w:rFonts w:hint="eastAsia" w:ascii="宋体" w:hAnsi="宋体"/>
          <w:sz w:val="24"/>
        </w:rPr>
        <w:t>扫码支付、远程支付。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bCs/>
          <w:kern w:val="0"/>
          <w:sz w:val="24"/>
        </w:rPr>
      </w:pPr>
      <w:r>
        <w:rPr>
          <w:rFonts w:hint="eastAsia" w:ascii="宋体" w:hAnsi="宋体"/>
          <w:b/>
          <w:bCs/>
          <w:kern w:val="0"/>
          <w:sz w:val="24"/>
        </w:rPr>
        <w:t>五、施工要求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1.中标人应做到文明施工，保持施工现场内外清洁卫生，并符合政府有关部门的规定和招标人的要求，主动接受招标人的监督和管理。及时清运垃圾，做到即出即清，不得堆放在校园内。所有施工垃圾由中标人负责清运，由清运产生的费用和一切责任由中标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2.施工过程中施工人员应安全施工，若由于施工不当，所产生的安全责任事故由中标人负全责，招标人不承担任何连带责任。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3.中标人施工过程中应负责对周边设施的保护，不得损坏周边设施，如有损坏应予以恢复并照价赔偿。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cs="华文楷体"/>
          <w:sz w:val="24"/>
        </w:rPr>
        <w:t>4.施工使用水电费用由招标人承担。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bCs/>
          <w:kern w:val="0"/>
          <w:sz w:val="24"/>
        </w:rPr>
      </w:pPr>
      <w:r>
        <w:rPr>
          <w:rFonts w:hint="eastAsia" w:ascii="宋体" w:hAnsi="宋体"/>
          <w:b/>
          <w:bCs/>
          <w:kern w:val="0"/>
          <w:sz w:val="24"/>
        </w:rPr>
        <w:t>六、安全</w:t>
      </w:r>
      <w:bookmarkEnd w:id="3"/>
      <w:r>
        <w:rPr>
          <w:rFonts w:hint="eastAsia" w:ascii="宋体" w:hAnsi="宋体"/>
          <w:b/>
          <w:bCs/>
          <w:kern w:val="0"/>
          <w:sz w:val="24"/>
        </w:rPr>
        <w:t>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color w:val="auto"/>
          <w:kern w:val="0"/>
          <w:sz w:val="24"/>
        </w:rPr>
        <w:t>1.充电桩经招标人组织验收通过后方可投入使用。投</w:t>
      </w:r>
      <w:r>
        <w:rPr>
          <w:rFonts w:hint="eastAsia" w:ascii="宋体" w:hAnsi="宋体"/>
          <w:kern w:val="0"/>
          <w:sz w:val="24"/>
        </w:rPr>
        <w:t>标人须向招标人提供全新的、安全检验合格的设备，确保设备、平台和现场的安全，承担相应的安全责任。如因设备质量问题对使用人或车辆或招标人设施设备造成人身或财产损害、损失，中标人要承担全部法律及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2.设备安全：设备具有过流、过压等异常情况自动断电、充满自动断电等功能；设备每路有单独保险丝物理保护；设备具有独立电源。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3.平台安全：平台可实时监控故障、具备异常报警功能。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kern w:val="0"/>
          <w:sz w:val="24"/>
        </w:rPr>
      </w:pPr>
      <w:r>
        <w:rPr>
          <w:rFonts w:hint="eastAsia" w:ascii="宋体" w:hAnsi="宋体"/>
          <w:kern w:val="0"/>
          <w:sz w:val="24"/>
        </w:rPr>
        <w:t>4.现场安全：根据国家标准配备警示牌、消防设施。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kern w:val="0"/>
          <w:sz w:val="24"/>
        </w:rPr>
      </w:pPr>
      <w:r>
        <w:rPr>
          <w:rFonts w:hint="eastAsia" w:ascii="宋体" w:hAnsi="宋体"/>
          <w:b/>
          <w:kern w:val="0"/>
          <w:sz w:val="24"/>
        </w:rPr>
        <w:t>七、运营服务及维修要求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kern w:val="0"/>
          <w:sz w:val="24"/>
        </w:rPr>
        <w:t>1.</w:t>
      </w:r>
      <w:r>
        <w:rPr>
          <w:rFonts w:hint="eastAsia" w:ascii="宋体" w:hAnsi="宋体"/>
          <w:sz w:val="24"/>
        </w:rPr>
        <w:t>投标人使用云平台实时监控运营情况，记录充电信息、安全警报提示等信息。用户可通过A</w:t>
      </w:r>
      <w:r>
        <w:rPr>
          <w:rFonts w:ascii="宋体" w:hAnsi="宋体"/>
          <w:sz w:val="24"/>
        </w:rPr>
        <w:t>PP</w:t>
      </w:r>
      <w:r>
        <w:rPr>
          <w:rFonts w:hint="eastAsia" w:ascii="宋体" w:hAnsi="宋体"/>
          <w:sz w:val="24"/>
        </w:rPr>
        <w:t>等查看充电状态等信息。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ascii="宋体" w:hAnsi="宋体"/>
          <w:sz w:val="24"/>
        </w:rPr>
        <w:t>2</w:t>
      </w:r>
      <w:r>
        <w:rPr>
          <w:rFonts w:hint="eastAsia" w:ascii="宋体" w:hAnsi="宋体"/>
          <w:sz w:val="24"/>
        </w:rPr>
        <w:t>.投标人提供7</w:t>
      </w:r>
      <w:r>
        <w:rPr>
          <w:rFonts w:ascii="宋体" w:hAnsi="宋体"/>
          <w:sz w:val="24"/>
        </w:rPr>
        <w:t>*24</w:t>
      </w:r>
      <w:r>
        <w:rPr>
          <w:rFonts w:hint="eastAsia" w:ascii="宋体" w:hAnsi="宋体"/>
          <w:sz w:val="24"/>
        </w:rPr>
        <w:t>小时技术支持及上门服务，充电桩在显著位置公示使用说明、安全提示和报修电话等信息。接到报修</w:t>
      </w:r>
      <w:r>
        <w:rPr>
          <w:rFonts w:ascii="宋体" w:hAnsi="宋体"/>
          <w:sz w:val="24"/>
        </w:rPr>
        <w:t>2</w:t>
      </w:r>
      <w:r>
        <w:rPr>
          <w:rFonts w:hint="eastAsia" w:ascii="宋体" w:hAnsi="宋体"/>
          <w:sz w:val="24"/>
        </w:rPr>
        <w:t>小时内响应，2</w:t>
      </w:r>
      <w:r>
        <w:rPr>
          <w:rFonts w:ascii="宋体" w:hAnsi="宋体"/>
          <w:sz w:val="24"/>
        </w:rPr>
        <w:t>4</w:t>
      </w:r>
      <w:r>
        <w:rPr>
          <w:rFonts w:hint="eastAsia" w:ascii="宋体" w:hAnsi="宋体"/>
          <w:sz w:val="24"/>
        </w:rPr>
        <w:t>小时内解决问题，严重问题</w:t>
      </w:r>
      <w:r>
        <w:rPr>
          <w:rFonts w:ascii="宋体" w:hAnsi="宋体"/>
          <w:sz w:val="24"/>
        </w:rPr>
        <w:t>48</w:t>
      </w:r>
      <w:r>
        <w:rPr>
          <w:rFonts w:hint="eastAsia" w:ascii="宋体" w:hAnsi="宋体"/>
          <w:sz w:val="24"/>
        </w:rPr>
        <w:t>小时内解决。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ascii="宋体" w:hAnsi="宋体"/>
          <w:sz w:val="24"/>
        </w:rPr>
        <w:t>3</w:t>
      </w:r>
      <w:r>
        <w:rPr>
          <w:rFonts w:hint="eastAsia" w:ascii="宋体" w:hAnsi="宋体"/>
          <w:sz w:val="24"/>
        </w:rPr>
        <w:t>.投标人负责设备、设施及平台等的维护、升级，保证提供终身技术支持服务。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Cs/>
          <w:kern w:val="0"/>
          <w:sz w:val="24"/>
        </w:rPr>
      </w:pPr>
      <w:r>
        <w:rPr>
          <w:rFonts w:hint="eastAsia" w:ascii="宋体" w:hAnsi="宋体"/>
          <w:sz w:val="24"/>
        </w:rPr>
        <w:t>4.</w:t>
      </w:r>
      <w:r>
        <w:rPr>
          <w:rFonts w:hint="eastAsia" w:ascii="宋体" w:hAnsi="宋体"/>
          <w:kern w:val="0"/>
          <w:sz w:val="24"/>
        </w:rPr>
        <w:t>投标人</w:t>
      </w:r>
      <w:r>
        <w:rPr>
          <w:rFonts w:ascii="宋体" w:hAnsi="宋体"/>
          <w:kern w:val="0"/>
          <w:sz w:val="24"/>
        </w:rPr>
        <w:t>负责设备的日常维护及维修，</w:t>
      </w:r>
      <w:r>
        <w:rPr>
          <w:rFonts w:hint="eastAsia" w:ascii="宋体" w:hAnsi="宋体"/>
          <w:kern w:val="0"/>
          <w:sz w:val="24"/>
        </w:rPr>
        <w:t>定期（至少每月一次）</w:t>
      </w:r>
      <w:r>
        <w:rPr>
          <w:rFonts w:ascii="宋体" w:hAnsi="宋体"/>
          <w:kern w:val="0"/>
          <w:sz w:val="24"/>
        </w:rPr>
        <w:t>对设备进行检查与维护并负责平台的管理运营</w:t>
      </w:r>
      <w:r>
        <w:rPr>
          <w:rFonts w:hint="eastAsia" w:ascii="宋体" w:hAnsi="宋体"/>
          <w:kern w:val="0"/>
          <w:sz w:val="24"/>
        </w:rPr>
        <w:t>，保障反馈渠道通畅、反馈及时。</w:t>
      </w:r>
      <w:r>
        <w:rPr>
          <w:rFonts w:hint="eastAsia" w:ascii="宋体" w:hAnsi="宋体"/>
          <w:bCs/>
          <w:kern w:val="0"/>
          <w:sz w:val="24"/>
        </w:rPr>
        <w:t>设备耗材及零部件由投标人提供并承担费用。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Cs/>
          <w:kern w:val="0"/>
          <w:sz w:val="24"/>
        </w:rPr>
        <w:sectPr>
          <w:headerReference r:id="rId3" w:type="default"/>
          <w:footerReference r:id="rId4" w:type="default"/>
          <w:pgSz w:w="11906" w:h="16838"/>
          <w:pgMar w:top="1383" w:right="1080" w:bottom="986" w:left="1080" w:header="851" w:footer="709" w:gutter="0"/>
          <w:cols w:space="720" w:num="1"/>
          <w:docGrid w:linePitch="312" w:charSpace="0"/>
        </w:sectPr>
      </w:pPr>
      <w:r>
        <w:rPr>
          <w:rFonts w:hint="eastAsia" w:ascii="宋体" w:hAnsi="宋体"/>
          <w:bCs/>
          <w:kern w:val="0"/>
          <w:sz w:val="24"/>
        </w:rPr>
        <w:t>5</w:t>
      </w:r>
      <w:r>
        <w:rPr>
          <w:rFonts w:ascii="宋体" w:hAnsi="宋体"/>
          <w:bCs/>
          <w:kern w:val="0"/>
          <w:sz w:val="24"/>
        </w:rPr>
        <w:t>.</w:t>
      </w:r>
      <w:r>
        <w:rPr>
          <w:rFonts w:hint="eastAsia" w:ascii="宋体" w:hAnsi="宋体"/>
          <w:bCs/>
          <w:kern w:val="0"/>
          <w:sz w:val="24"/>
        </w:rPr>
        <w:t>投标人要保证充电桩可正常使用数量不低于90%，低于90%，每次处罚1000元，不及时缴纳罚金的，招标人有权解除合同，并扣留所有设备归招标人所有。</w:t>
      </w:r>
    </w:p>
    <w:p/>
    <w:p/>
    <w:p>
      <w:pPr>
        <w:numPr>
          <w:ilvl w:val="0"/>
          <w:numId w:val="4"/>
        </w:numPr>
        <w:spacing w:line="400" w:lineRule="exact"/>
        <w:jc w:val="center"/>
        <w:rPr>
          <w:b/>
          <w:bCs/>
          <w:sz w:val="32"/>
          <w:szCs w:val="32"/>
        </w:rPr>
      </w:pPr>
      <w:r>
        <w:rPr>
          <w:rFonts w:hint="eastAsia"/>
          <w:b/>
          <w:bCs/>
          <w:sz w:val="32"/>
          <w:szCs w:val="32"/>
        </w:rPr>
        <w:t xml:space="preserve">  合同主要条款</w:t>
      </w:r>
    </w:p>
    <w:p>
      <w:pPr>
        <w:spacing w:line="360" w:lineRule="auto"/>
        <w:jc w:val="center"/>
        <w:rPr>
          <w:b/>
          <w:sz w:val="32"/>
          <w:szCs w:val="32"/>
        </w:rPr>
      </w:pPr>
      <w:r>
        <w:rPr>
          <w:rFonts w:hint="eastAsia"/>
          <w:b/>
          <w:sz w:val="32"/>
          <w:szCs w:val="32"/>
        </w:rPr>
        <w:t>江苏师范大学科文学院潘安湖校区新能源汽车</w:t>
      </w:r>
    </w:p>
    <w:p>
      <w:pPr>
        <w:spacing w:line="360" w:lineRule="auto"/>
        <w:jc w:val="center"/>
        <w:rPr>
          <w:b/>
          <w:sz w:val="32"/>
          <w:szCs w:val="32"/>
        </w:rPr>
      </w:pPr>
      <w:r>
        <w:rPr>
          <w:rFonts w:hint="eastAsia"/>
          <w:b/>
          <w:sz w:val="32"/>
          <w:szCs w:val="32"/>
        </w:rPr>
        <w:t>充电桩建设及运营服务合同</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ascii="宋体" w:hAnsi="宋体"/>
          <w:sz w:val="24"/>
        </w:rPr>
      </w:pPr>
      <w:r>
        <w:rPr>
          <w:rFonts w:hint="eastAsia" w:ascii="宋体" w:hAnsi="宋体"/>
          <w:b/>
          <w:sz w:val="24"/>
        </w:rPr>
        <w:t>甲方</w:t>
      </w:r>
      <w:r>
        <w:rPr>
          <w:rFonts w:hint="eastAsia" w:ascii="宋体" w:hAnsi="宋体"/>
          <w:sz w:val="24"/>
        </w:rPr>
        <w:t>：</w:t>
      </w:r>
      <w:r>
        <w:rPr>
          <w:rFonts w:hint="eastAsia" w:ascii="宋体" w:hAnsi="宋体"/>
          <w:bCs/>
          <w:sz w:val="24"/>
        </w:rPr>
        <w:t>江苏师范大学科文学院</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ascii="宋体" w:hAnsi="宋体"/>
          <w:bCs/>
          <w:sz w:val="24"/>
        </w:rPr>
      </w:pPr>
      <w:r>
        <w:rPr>
          <w:rFonts w:hint="eastAsia" w:ascii="宋体" w:hAnsi="宋体"/>
          <w:b/>
          <w:sz w:val="24"/>
        </w:rPr>
        <w:t>乙方：</w:t>
      </w:r>
      <w:r>
        <w:rPr>
          <w:rFonts w:hint="eastAsia" w:ascii="宋体" w:hAnsi="宋体"/>
          <w:sz w:val="24"/>
        </w:rPr>
        <w:t xml:space="preserve">           </w:t>
      </w:r>
      <w:r>
        <w:rPr>
          <w:rFonts w:hint="eastAsia" w:ascii="宋体" w:hAnsi="宋体"/>
          <w:bCs/>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根据《中华人民共和国民法典》及相关法律、法规，甲乙双方按照平等、自愿、公平、诚实守信的原则，经协商一致，就</w:t>
      </w:r>
      <w:r>
        <w:rPr>
          <w:rFonts w:hint="eastAsia" w:ascii="宋体" w:hAnsi="宋体"/>
          <w:bCs/>
          <w:sz w:val="24"/>
        </w:rPr>
        <w:t>江苏师范大学科文学院潘安湖校区新能源汽车充电桩建设及运营服务</w:t>
      </w:r>
      <w:r>
        <w:rPr>
          <w:rFonts w:hint="eastAsia" w:ascii="宋体" w:hAnsi="宋体"/>
          <w:sz w:val="24"/>
        </w:rPr>
        <w:t>等事宜，订立本合同，以兹双方共同遵守。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建设充电桩数量及要求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s="宋体"/>
          <w:kern w:val="0"/>
          <w:sz w:val="24"/>
        </w:rPr>
      </w:pPr>
      <w:r>
        <w:rPr>
          <w:rFonts w:hint="eastAsia" w:ascii="宋体" w:hAnsi="宋体" w:cs="宋体"/>
          <w:kern w:val="0"/>
          <w:sz w:val="24"/>
        </w:rPr>
        <w:t>在甲方指定区域4个充电桩点安装1台不低于120KW快充充电桩（双枪），20台不低于7KW慢充充电桩，共计22个智能充电位。</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合同期限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本合同期限为</w:t>
      </w:r>
      <w:r>
        <w:rPr>
          <w:rFonts w:hint="eastAsia" w:ascii="宋体" w:hAnsi="宋体"/>
          <w:sz w:val="24"/>
          <w:u w:val="single"/>
        </w:rPr>
        <w:t xml:space="preserve">     </w:t>
      </w:r>
      <w:r>
        <w:rPr>
          <w:rFonts w:hint="eastAsia" w:ascii="宋体" w:hAnsi="宋体"/>
          <w:sz w:val="24"/>
        </w:rPr>
        <w:t>年，自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日起至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cs="宋体"/>
          <w:b/>
          <w:bCs/>
          <w:kern w:val="0"/>
          <w:sz w:val="24"/>
        </w:rPr>
        <w:t xml:space="preserve">第三条 </w:t>
      </w:r>
      <w:r>
        <w:rPr>
          <w:rFonts w:hint="eastAsia" w:ascii="宋体" w:hAnsi="宋体"/>
          <w:sz w:val="24"/>
        </w:rPr>
        <w:t xml:space="preserve"> 安装施工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ascii="宋体" w:hAnsi="宋体"/>
          <w:kern w:val="0"/>
          <w:sz w:val="24"/>
        </w:rPr>
      </w:pPr>
      <w:r>
        <w:rPr>
          <w:rFonts w:hint="eastAsia" w:ascii="宋体" w:hAnsi="宋体"/>
          <w:kern w:val="0"/>
          <w:sz w:val="24"/>
        </w:rPr>
        <w:t>1.乙方应做到文明施工，保持施工现场内外清洁卫生，并符合政府有关部门的规定和甲方的要求，主动接受甲方的监督和管理。及时清运垃圾，做到即出即清，不得堆放在校园内。所有施工垃圾由乙方负责清运，由清运产生的费用和一切责任由乙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kern w:val="0"/>
          <w:sz w:val="24"/>
        </w:rPr>
      </w:pPr>
      <w:r>
        <w:rPr>
          <w:rFonts w:hint="eastAsia" w:ascii="宋体" w:hAnsi="宋体"/>
          <w:kern w:val="0"/>
          <w:sz w:val="24"/>
        </w:rPr>
        <w:t>2.施工过程中施工人员应安全施工，若由于施工不当，所产生的安全责任事故由乙方负全责，甲方不承担任何连带责任。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kern w:val="0"/>
          <w:sz w:val="24"/>
        </w:rPr>
      </w:pPr>
      <w:r>
        <w:rPr>
          <w:rFonts w:hint="eastAsia" w:ascii="宋体" w:hAnsi="宋体"/>
          <w:kern w:val="0"/>
          <w:sz w:val="24"/>
        </w:rPr>
        <w:t>3.乙方施工过程中应负责对周边设施的保护，不得损坏周边设施，如有损坏应予以恢复并照价赔偿。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4.充电桩安装工期：</w:t>
      </w:r>
      <w:r>
        <w:rPr>
          <w:rFonts w:ascii="宋体" w:hAnsi="宋体"/>
          <w:bCs/>
          <w:sz w:val="24"/>
          <w:u w:val="single"/>
        </w:rPr>
        <w:t xml:space="preserve">   </w:t>
      </w:r>
      <w:r>
        <w:rPr>
          <w:rFonts w:hint="eastAsia" w:ascii="宋体" w:hAnsi="宋体"/>
          <w:bCs/>
          <w:sz w:val="24"/>
        </w:rPr>
        <w:t>年</w:t>
      </w:r>
      <w:r>
        <w:rPr>
          <w:rFonts w:ascii="宋体" w:hAnsi="宋体"/>
          <w:bCs/>
          <w:sz w:val="24"/>
          <w:u w:val="single"/>
        </w:rPr>
        <w:t xml:space="preserve">  </w:t>
      </w:r>
      <w:r>
        <w:rPr>
          <w:rFonts w:hint="eastAsia" w:ascii="宋体" w:hAnsi="宋体"/>
          <w:bCs/>
          <w:sz w:val="24"/>
        </w:rPr>
        <w:t>月</w:t>
      </w:r>
      <w:r>
        <w:rPr>
          <w:rFonts w:ascii="宋体" w:hAnsi="宋体"/>
          <w:bCs/>
          <w:sz w:val="24"/>
          <w:u w:val="single"/>
        </w:rPr>
        <w:t xml:space="preserve">   </w:t>
      </w:r>
      <w:r>
        <w:rPr>
          <w:rFonts w:hint="eastAsia" w:ascii="宋体" w:hAnsi="宋体"/>
          <w:bCs/>
          <w:sz w:val="24"/>
        </w:rPr>
        <w:t>日至</w:t>
      </w:r>
      <w:r>
        <w:rPr>
          <w:rFonts w:ascii="宋体" w:hAnsi="宋体"/>
          <w:bCs/>
          <w:sz w:val="24"/>
          <w:u w:val="single"/>
        </w:rPr>
        <w:t xml:space="preserve">   </w:t>
      </w:r>
      <w:r>
        <w:rPr>
          <w:rFonts w:hint="eastAsia" w:ascii="宋体" w:hAnsi="宋体"/>
          <w:bCs/>
          <w:sz w:val="24"/>
        </w:rPr>
        <w:t>年</w:t>
      </w:r>
      <w:r>
        <w:rPr>
          <w:rFonts w:ascii="宋体" w:hAnsi="宋体"/>
          <w:bCs/>
          <w:sz w:val="24"/>
          <w:u w:val="single"/>
        </w:rPr>
        <w:t xml:space="preserve">   </w:t>
      </w:r>
      <w:r>
        <w:rPr>
          <w:rFonts w:hint="eastAsia" w:ascii="宋体" w:hAnsi="宋体"/>
          <w:bCs/>
          <w:sz w:val="24"/>
        </w:rPr>
        <w:t>月</w:t>
      </w:r>
      <w:r>
        <w:rPr>
          <w:rFonts w:ascii="宋体" w:hAnsi="宋体"/>
          <w:bCs/>
          <w:sz w:val="24"/>
          <w:u w:val="single"/>
        </w:rPr>
        <w:t xml:space="preserve">   </w:t>
      </w:r>
      <w:r>
        <w:rPr>
          <w:rFonts w:hint="eastAsia" w:ascii="宋体" w:hAnsi="宋体"/>
          <w:bCs/>
          <w:sz w:val="24"/>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cs="宋体"/>
          <w:b/>
          <w:bCs/>
          <w:kern w:val="0"/>
          <w:sz w:val="24"/>
        </w:rPr>
        <w:t>第四条</w:t>
      </w:r>
      <w:r>
        <w:rPr>
          <w:rFonts w:hint="eastAsia" w:ascii="宋体" w:hAnsi="宋体"/>
          <w:sz w:val="24"/>
        </w:rPr>
        <w:t xml:space="preserve"> </w:t>
      </w:r>
      <w:r>
        <w:rPr>
          <w:rFonts w:ascii="宋体" w:hAnsi="宋体"/>
          <w:sz w:val="24"/>
        </w:rPr>
        <w:t xml:space="preserve"> </w:t>
      </w:r>
      <w:r>
        <w:rPr>
          <w:rFonts w:hint="eastAsia" w:ascii="宋体" w:hAnsi="宋体"/>
          <w:sz w:val="24"/>
        </w:rPr>
        <w:t>相关费用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jc w:val="left"/>
        <w:textAlignment w:val="auto"/>
        <w:rPr>
          <w:rFonts w:ascii="宋体" w:hAnsi="宋体"/>
          <w:kern w:val="0"/>
          <w:sz w:val="24"/>
        </w:rPr>
      </w:pPr>
      <w:r>
        <w:rPr>
          <w:rFonts w:hint="eastAsia" w:ascii="宋体" w:hAnsi="宋体"/>
          <w:kern w:val="0"/>
          <w:sz w:val="24"/>
        </w:rPr>
        <w:t>1.乙方全额投资充电桩建设（包括设备购置、运输、建设施工、电缆及配电箱、计量电表、预埋基础、快充桩篷、运营服务、维修、配件等所有保障充电桩运行的费用）并管理运营维护。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30"/>
        <w:textAlignment w:val="auto"/>
        <w:rPr>
          <w:rFonts w:ascii="宋体" w:hAnsi="宋体"/>
          <w:kern w:val="0"/>
          <w:sz w:val="24"/>
        </w:rPr>
      </w:pPr>
      <w:r>
        <w:rPr>
          <w:rFonts w:hint="eastAsia" w:ascii="宋体" w:hAnsi="宋体"/>
          <w:kern w:val="0"/>
          <w:sz w:val="24"/>
        </w:rPr>
        <w:t>2.甲方使用充电桩充电费用按度计量，每度费用由服务费和电费构成，服务费归乙方所有，电费归甲方所有。所需流量卡费用、第三方支付平台（支付宝、微信等）手续费、管理费等由乙方负责支付。乙方不得以其他管理、维修、环境等任何名义收取其他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30"/>
        <w:textAlignment w:val="auto"/>
        <w:rPr>
          <w:rFonts w:ascii="宋体" w:hAnsi="宋体"/>
          <w:bCs/>
          <w:kern w:val="0"/>
          <w:sz w:val="24"/>
        </w:rPr>
      </w:pPr>
      <w:r>
        <w:rPr>
          <w:rFonts w:hint="eastAsia" w:ascii="宋体" w:hAnsi="宋体"/>
          <w:kern w:val="0"/>
          <w:sz w:val="24"/>
        </w:rPr>
        <w:t>3.</w:t>
      </w:r>
      <w:r>
        <w:rPr>
          <w:rFonts w:hint="eastAsia" w:ascii="宋体" w:hAnsi="宋体"/>
          <w:bCs/>
          <w:sz w:val="24"/>
        </w:rPr>
        <w:t>乙方负责安装计量电表，按甲方缴费通知根据挂表电量，每两个月向甲方支付电费，以挂表电量基础为准。如挂表电量与平台统计电量出入较大，甲方对电表进行检测，根据检测结果协商计量方式。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4.充电费用单价：</w:t>
      </w:r>
      <w:r>
        <w:rPr>
          <w:rFonts w:ascii="宋体" w:hAnsi="宋体"/>
          <w:bCs/>
          <w:sz w:val="24"/>
          <w:u w:val="single"/>
        </w:rPr>
        <w:t xml:space="preserve">   </w:t>
      </w:r>
      <w:r>
        <w:rPr>
          <w:rFonts w:hint="eastAsia" w:ascii="宋体" w:hAnsi="宋体"/>
          <w:bCs/>
          <w:sz w:val="24"/>
        </w:rPr>
        <w:t>元/度，其中服务费</w:t>
      </w:r>
      <w:r>
        <w:rPr>
          <w:rFonts w:ascii="宋体" w:hAnsi="宋体"/>
          <w:bCs/>
          <w:sz w:val="24"/>
          <w:u w:val="single"/>
        </w:rPr>
        <w:t xml:space="preserve">  </w:t>
      </w:r>
      <w:r>
        <w:rPr>
          <w:rFonts w:hint="eastAsia" w:ascii="宋体" w:hAnsi="宋体"/>
          <w:bCs/>
          <w:sz w:val="24"/>
        </w:rPr>
        <w:t>元/度，电费</w:t>
      </w:r>
      <w:r>
        <w:rPr>
          <w:rFonts w:ascii="宋体" w:hAnsi="宋体"/>
          <w:bCs/>
          <w:sz w:val="24"/>
          <w:u w:val="single"/>
        </w:rPr>
        <w:t xml:space="preserve">  </w:t>
      </w:r>
      <w:r>
        <w:rPr>
          <w:rFonts w:hint="eastAsia" w:ascii="宋体" w:hAnsi="宋体"/>
          <w:bCs/>
          <w:sz w:val="24"/>
        </w:rPr>
        <w:t>元/度，如政府电价调整，根据甲方要求对电费作相应调整，未经甲方同意乙方不得对服务费、电费随意调整。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5.电表每贰个月抄表一次，由甲乙双方共同抄表，并做好记录，一式两份，甲乙双方签字确认后各留一份作为下次抄表依据。如乙方不配合抄表，以甲方抄表数据为准。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6.乙方在每贰个月抄表后10日内缴纳电费给甲方，不得拖欠。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bCs/>
          <w:sz w:val="24"/>
        </w:rPr>
      </w:pPr>
      <w:r>
        <w:rPr>
          <w:rFonts w:hint="eastAsia" w:ascii="宋体" w:hAnsi="宋体" w:cs="宋体"/>
          <w:b/>
          <w:bCs/>
          <w:kern w:val="0"/>
          <w:sz w:val="24"/>
        </w:rPr>
        <w:t>第五条</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运营服务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kern w:val="0"/>
          <w:sz w:val="24"/>
        </w:rPr>
        <w:t>1.</w:t>
      </w:r>
      <w:r>
        <w:rPr>
          <w:rFonts w:hint="eastAsia" w:ascii="宋体" w:hAnsi="宋体"/>
          <w:sz w:val="24"/>
        </w:rPr>
        <w:t>乙方使用云平台实时监控运营情况，记录充电信息、安全警报提示等信息。用户可通过A</w:t>
      </w:r>
      <w:r>
        <w:rPr>
          <w:rFonts w:ascii="宋体" w:hAnsi="宋体"/>
          <w:sz w:val="24"/>
        </w:rPr>
        <w:t>PP</w:t>
      </w:r>
      <w:r>
        <w:rPr>
          <w:rFonts w:hint="eastAsia" w:ascii="宋体" w:hAnsi="宋体"/>
          <w:sz w:val="24"/>
        </w:rPr>
        <w:t>等查看充电状态等信息。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ascii="宋体" w:hAnsi="宋体"/>
          <w:sz w:val="24"/>
        </w:rPr>
        <w:t>2</w:t>
      </w:r>
      <w:r>
        <w:rPr>
          <w:rFonts w:hint="eastAsia" w:ascii="宋体" w:hAnsi="宋体"/>
          <w:sz w:val="24"/>
        </w:rPr>
        <w:t>.乙方提供7</w:t>
      </w:r>
      <w:r>
        <w:rPr>
          <w:rFonts w:ascii="宋体" w:hAnsi="宋体"/>
          <w:sz w:val="24"/>
        </w:rPr>
        <w:t>*24</w:t>
      </w:r>
      <w:r>
        <w:rPr>
          <w:rFonts w:hint="eastAsia" w:ascii="宋体" w:hAnsi="宋体"/>
          <w:sz w:val="24"/>
        </w:rPr>
        <w:t>小时技术支持及上门服务，充电桩在显著位置公示使用说明、安全提示和报修电话等信息。接到报修</w:t>
      </w:r>
      <w:r>
        <w:rPr>
          <w:rFonts w:ascii="宋体" w:hAnsi="宋体"/>
          <w:sz w:val="24"/>
        </w:rPr>
        <w:t>2</w:t>
      </w:r>
      <w:r>
        <w:rPr>
          <w:rFonts w:hint="eastAsia" w:ascii="宋体" w:hAnsi="宋体"/>
          <w:sz w:val="24"/>
        </w:rPr>
        <w:t>小时内响应，2</w:t>
      </w:r>
      <w:r>
        <w:rPr>
          <w:rFonts w:ascii="宋体" w:hAnsi="宋体"/>
          <w:sz w:val="24"/>
        </w:rPr>
        <w:t>4</w:t>
      </w:r>
      <w:r>
        <w:rPr>
          <w:rFonts w:hint="eastAsia" w:ascii="宋体" w:hAnsi="宋体"/>
          <w:sz w:val="24"/>
        </w:rPr>
        <w:t>小时内解决问题，严重问题</w:t>
      </w:r>
      <w:r>
        <w:rPr>
          <w:rFonts w:ascii="宋体" w:hAnsi="宋体"/>
          <w:sz w:val="24"/>
        </w:rPr>
        <w:t>48</w:t>
      </w:r>
      <w:r>
        <w:rPr>
          <w:rFonts w:hint="eastAsia" w:ascii="宋体" w:hAnsi="宋体"/>
          <w:sz w:val="24"/>
        </w:rPr>
        <w:t>小时内解决。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ascii="宋体" w:hAnsi="宋体"/>
          <w:sz w:val="24"/>
        </w:rPr>
        <w:t>3</w:t>
      </w:r>
      <w:r>
        <w:rPr>
          <w:rFonts w:hint="eastAsia" w:ascii="宋体" w:hAnsi="宋体"/>
          <w:sz w:val="24"/>
        </w:rPr>
        <w:t>.乙方负责设备、设施及平台等的维护、升级，保证提供终身技术支持服务。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kern w:val="0"/>
          <w:sz w:val="24"/>
        </w:rPr>
      </w:pPr>
      <w:r>
        <w:rPr>
          <w:rFonts w:hint="eastAsia" w:ascii="宋体" w:hAnsi="宋体"/>
          <w:sz w:val="24"/>
        </w:rPr>
        <w:t>4.</w:t>
      </w:r>
      <w:r>
        <w:rPr>
          <w:rFonts w:hint="eastAsia" w:ascii="宋体" w:hAnsi="宋体"/>
          <w:kern w:val="0"/>
          <w:sz w:val="24"/>
        </w:rPr>
        <w:t>乙方</w:t>
      </w:r>
      <w:r>
        <w:rPr>
          <w:rFonts w:ascii="宋体" w:hAnsi="宋体"/>
          <w:kern w:val="0"/>
          <w:sz w:val="24"/>
        </w:rPr>
        <w:t>负责设备的日常维护及维修，</w:t>
      </w:r>
      <w:r>
        <w:rPr>
          <w:rFonts w:hint="eastAsia" w:ascii="宋体" w:hAnsi="宋体"/>
          <w:kern w:val="0"/>
          <w:sz w:val="24"/>
        </w:rPr>
        <w:t>定期（至少每月一次）</w:t>
      </w:r>
      <w:r>
        <w:rPr>
          <w:rFonts w:ascii="宋体" w:hAnsi="宋体"/>
          <w:kern w:val="0"/>
          <w:sz w:val="24"/>
        </w:rPr>
        <w:t>对设备进行检查与维护并负责平台的管理运营</w:t>
      </w:r>
      <w:r>
        <w:rPr>
          <w:rFonts w:hint="eastAsia" w:ascii="宋体" w:hAnsi="宋体"/>
          <w:kern w:val="0"/>
          <w:sz w:val="24"/>
        </w:rPr>
        <w:t>，保障反馈渠道通畅、反馈及时。</w:t>
      </w:r>
      <w:r>
        <w:rPr>
          <w:rFonts w:hint="eastAsia" w:ascii="宋体" w:hAnsi="宋体"/>
          <w:bCs/>
          <w:kern w:val="0"/>
          <w:sz w:val="24"/>
        </w:rPr>
        <w:t>设备耗材及零部件由投标人提供并承担费用。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5.合同期内乙方不得以其他成本、维修等任何名义要求甲方补偿其他费用。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bCs/>
          <w:color w:val="auto"/>
          <w:sz w:val="24"/>
        </w:rPr>
      </w:pPr>
      <w:r>
        <w:rPr>
          <w:rFonts w:hint="eastAsia" w:ascii="宋体" w:hAnsi="宋体"/>
          <w:b/>
          <w:color w:val="auto"/>
          <w:sz w:val="24"/>
        </w:rPr>
        <w:t>第六条</w:t>
      </w:r>
      <w:r>
        <w:rPr>
          <w:rFonts w:hint="eastAsia" w:ascii="宋体" w:hAnsi="宋体"/>
          <w:bCs/>
          <w:color w:val="auto"/>
          <w:sz w:val="24"/>
        </w:rPr>
        <w:t xml:space="preserve"> </w:t>
      </w:r>
      <w:r>
        <w:rPr>
          <w:rFonts w:hint="eastAsia" w:ascii="宋体" w:hAnsi="宋体"/>
          <w:bCs/>
          <w:color w:val="auto"/>
          <w:sz w:val="24"/>
          <w:lang w:val="en-US" w:eastAsia="zh-CN"/>
        </w:rPr>
        <w:t xml:space="preserve"> </w:t>
      </w:r>
      <w:r>
        <w:rPr>
          <w:rFonts w:hint="eastAsia" w:ascii="宋体" w:hAnsi="宋体"/>
          <w:bCs/>
          <w:color w:val="auto"/>
          <w:sz w:val="24"/>
        </w:rPr>
        <w:t>安全管理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color w:val="auto"/>
          <w:sz w:val="24"/>
        </w:rPr>
      </w:pPr>
      <w:r>
        <w:rPr>
          <w:rFonts w:hint="eastAsia" w:ascii="宋体" w:hAnsi="宋体"/>
          <w:bCs/>
          <w:color w:val="auto"/>
          <w:sz w:val="24"/>
        </w:rPr>
        <w:t>1.本项目建设的充电设施设备，由乙方负责管理、由乙方承但管理责任。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color w:val="auto"/>
          <w:sz w:val="24"/>
        </w:rPr>
      </w:pPr>
      <w:r>
        <w:rPr>
          <w:rFonts w:hint="eastAsia" w:ascii="宋体" w:hAnsi="宋体"/>
          <w:bCs/>
          <w:color w:val="auto"/>
          <w:sz w:val="24"/>
        </w:rPr>
        <w:t>由于充电设施设备或充电运行发生的安全、管理责任事故，如发生包括并不限于治安、消防、人身伤害、汽车损坏等，乙方承担全部责任。因此导致甲方受到损失的，也由乙方赔偿。甲方有权根据事故(件)的具体情况扣收部分或全部履约保证金，直至解除合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color w:val="auto"/>
          <w:sz w:val="24"/>
        </w:rPr>
      </w:pPr>
      <w:r>
        <w:rPr>
          <w:rFonts w:hint="eastAsia" w:ascii="宋体" w:hAnsi="宋体"/>
          <w:bCs/>
          <w:color w:val="auto"/>
          <w:sz w:val="24"/>
        </w:rPr>
        <w:t>2.乙方应设置专门的安全管理员，制定安全管理制度和责任追究制度，开展严格的安全巡检，建立齐备的安全管理档案。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olor w:val="auto"/>
          <w:sz w:val="24"/>
        </w:rPr>
      </w:pPr>
      <w:r>
        <w:rPr>
          <w:rFonts w:hint="eastAsia" w:ascii="宋体" w:hAnsi="宋体" w:cs="宋体"/>
          <w:b/>
          <w:bCs/>
          <w:color w:val="auto"/>
          <w:kern w:val="0"/>
          <w:sz w:val="24"/>
        </w:rPr>
        <w:t>第七条</w:t>
      </w:r>
      <w:r>
        <w:rPr>
          <w:rFonts w:hint="eastAsia" w:ascii="宋体" w:hAnsi="宋体"/>
          <w:bCs/>
          <w:color w:val="auto"/>
          <w:sz w:val="24"/>
        </w:rPr>
        <w:t xml:space="preserve"> </w:t>
      </w:r>
      <w:r>
        <w:rPr>
          <w:rFonts w:ascii="宋体" w:hAnsi="宋体"/>
          <w:bCs/>
          <w:color w:val="auto"/>
          <w:sz w:val="24"/>
        </w:rPr>
        <w:t xml:space="preserve"> </w:t>
      </w:r>
      <w:r>
        <w:rPr>
          <w:rFonts w:hint="eastAsia" w:ascii="宋体" w:hAnsi="宋体"/>
          <w:color w:val="auto"/>
          <w:sz w:val="24"/>
        </w:rPr>
        <w:t>甲方</w:t>
      </w:r>
      <w:r>
        <w:rPr>
          <w:rFonts w:hint="eastAsia" w:ascii="宋体" w:hAnsi="宋体"/>
          <w:bCs/>
          <w:color w:val="auto"/>
          <w:sz w:val="24"/>
        </w:rPr>
        <w:t>权利及义务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1.免费向乙方提供适合停车的场地，乙方自主建设安装充电桩。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2.为乙方施工提供方便；提供最近距离电源接入点。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3.如甲方发现充电桩设备被人为损坏或设备出现故障后应及时通知乙方检修。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cs="宋体"/>
          <w:b/>
          <w:bCs/>
          <w:kern w:val="0"/>
          <w:sz w:val="24"/>
        </w:rPr>
        <w:t>第八条</w:t>
      </w:r>
      <w:r>
        <w:rPr>
          <w:rFonts w:hint="eastAsia" w:ascii="宋体" w:hAnsi="宋体"/>
          <w:sz w:val="24"/>
        </w:rPr>
        <w:t xml:space="preserve"> </w:t>
      </w:r>
      <w:r>
        <w:rPr>
          <w:rFonts w:ascii="宋体" w:hAnsi="宋体"/>
          <w:sz w:val="24"/>
        </w:rPr>
        <w:t xml:space="preserve"> </w:t>
      </w:r>
      <w:r>
        <w:rPr>
          <w:rFonts w:hint="eastAsia" w:ascii="宋体" w:hAnsi="宋体"/>
          <w:sz w:val="24"/>
        </w:rPr>
        <w:t>乙方</w:t>
      </w:r>
      <w:r>
        <w:rPr>
          <w:rFonts w:hint="eastAsia" w:ascii="宋体" w:hAnsi="宋体"/>
          <w:bCs/>
          <w:sz w:val="24"/>
        </w:rPr>
        <w:t>权利及义务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1.免费为甲方建设电动车充电桩。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2.及时维护及维修充电桩，确保甲方正常使用。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3.负责充电桩使用过程中电动车的充电安全。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4.按时向甲方缴纳电费。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5.发生安全事故，经相关部门鉴定属于乙方产品质量</w:t>
      </w:r>
      <w:r>
        <w:rPr>
          <w:rFonts w:hint="eastAsia" w:ascii="宋体" w:hAnsi="宋体"/>
          <w:bCs/>
          <w:sz w:val="24"/>
        </w:rPr>
        <w:t>或安装问题的</w:t>
      </w:r>
      <w:r>
        <w:rPr>
          <w:rFonts w:hint="eastAsia" w:ascii="宋体" w:hAnsi="宋体"/>
          <w:sz w:val="24"/>
        </w:rPr>
        <w:t>，由乙方承担赔偿责任。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s="宋体"/>
          <w:b/>
          <w:color w:val="auto"/>
          <w:sz w:val="24"/>
        </w:rPr>
      </w:pPr>
      <w:r>
        <w:rPr>
          <w:rFonts w:hint="eastAsia" w:ascii="宋体" w:hAnsi="宋体" w:cs="宋体"/>
          <w:b/>
          <w:color w:val="auto"/>
          <w:sz w:val="24"/>
        </w:rPr>
        <w:t xml:space="preserve">第九条 </w:t>
      </w:r>
      <w:r>
        <w:rPr>
          <w:rFonts w:ascii="宋体" w:hAnsi="宋体" w:cs="宋体"/>
          <w:b/>
          <w:color w:val="auto"/>
          <w:sz w:val="24"/>
        </w:rPr>
        <w:t xml:space="preserve"> </w:t>
      </w:r>
      <w:r>
        <w:rPr>
          <w:rFonts w:hint="eastAsia" w:ascii="宋体" w:hAnsi="宋体" w:cs="宋体"/>
          <w:bCs/>
          <w:color w:val="auto"/>
          <w:sz w:val="24"/>
        </w:rPr>
        <w:t>合同履约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olor w:val="auto"/>
          <w:sz w:val="24"/>
        </w:rPr>
      </w:pPr>
      <w:r>
        <w:rPr>
          <w:rFonts w:hint="eastAsia" w:ascii="宋体" w:hAnsi="宋体"/>
          <w:color w:val="auto"/>
          <w:sz w:val="24"/>
        </w:rPr>
        <w:t>1.在本合同签订前，乙方应向甲方缴存</w:t>
      </w:r>
      <w:r>
        <w:rPr>
          <w:rFonts w:hint="eastAsia" w:ascii="宋体" w:hAnsi="宋体"/>
          <w:color w:val="auto"/>
          <w:sz w:val="24"/>
          <w:lang w:val="en-US" w:eastAsia="zh-CN"/>
        </w:rPr>
        <w:t>人民币</w:t>
      </w:r>
      <w:r>
        <w:rPr>
          <w:rFonts w:hint="eastAsia" w:ascii="宋体" w:hAnsi="宋体"/>
          <w:color w:val="auto"/>
          <w:sz w:val="24"/>
        </w:rPr>
        <w:t>1万元履约保证金。合同正常履约期满，一次性等额无息退还。如因乙方违约或乙方其他原因导致其履约保证金被扣减，合同期满后仅退还其剩余部分。如合同期内履约保证金不足</w:t>
      </w:r>
      <w:r>
        <w:rPr>
          <w:rFonts w:hint="eastAsia" w:ascii="宋体" w:hAnsi="宋体"/>
          <w:color w:val="auto"/>
          <w:sz w:val="24"/>
          <w:lang w:val="en-US" w:eastAsia="zh-CN"/>
        </w:rPr>
        <w:t>人民币</w:t>
      </w:r>
      <w:r>
        <w:rPr>
          <w:rFonts w:hint="eastAsia" w:ascii="宋体" w:hAnsi="宋体"/>
          <w:color w:val="auto"/>
          <w:sz w:val="24"/>
        </w:rPr>
        <w:t xml:space="preserve"> 1 万元，乙方应在 15 日历天内补足。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color w:val="auto"/>
          <w:sz w:val="24"/>
        </w:rPr>
        <w:t>2.如一方严重违约，致使另一方合同目的不能实现，守约方可以单方面解除合同，并要求违约方承担相应的经济损失及造成的</w:t>
      </w:r>
      <w:r>
        <w:rPr>
          <w:rFonts w:hint="eastAsia" w:ascii="宋体" w:hAnsi="宋体"/>
          <w:sz w:val="24"/>
        </w:rPr>
        <w:t xml:space="preserve">其它违约责任。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 xml:space="preserve">第十条 </w:t>
      </w:r>
      <w:r>
        <w:rPr>
          <w:rFonts w:ascii="宋体" w:hAnsi="宋体"/>
          <w:b/>
          <w:sz w:val="24"/>
        </w:rPr>
        <w:t xml:space="preserve"> </w:t>
      </w:r>
      <w:r>
        <w:rPr>
          <w:rFonts w:hint="eastAsia" w:ascii="宋体" w:hAnsi="宋体"/>
          <w:sz w:val="24"/>
        </w:rPr>
        <w:t>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1.任何一方因不可抗力无法履行本合同义务的，可免除对另一方的赔偿责任。但遭遇不可抗力一方应及时通知另一方，并自不可抗力结束之日起7日内提供发生不可抗力证明。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2.本合同所称不可抗力，系指不可预见、不可避免并不可抗力之事由，包括但不限于学校转设、搬迁、火灾、爆炸、洪水、地震、台风、叛乱、暴动、政府政策等。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bCs/>
          <w:sz w:val="24"/>
        </w:rPr>
      </w:pPr>
      <w:r>
        <w:rPr>
          <w:rFonts w:hint="eastAsia" w:ascii="宋体" w:hAnsi="宋体" w:cs="宋体"/>
          <w:b/>
          <w:bCs/>
          <w:kern w:val="0"/>
          <w:sz w:val="24"/>
        </w:rPr>
        <w:t>第十一条</w:t>
      </w:r>
      <w:r>
        <w:rPr>
          <w:rFonts w:hint="eastAsia" w:ascii="宋体" w:hAnsi="宋体"/>
          <w:bCs/>
          <w:sz w:val="24"/>
        </w:rPr>
        <w:t xml:space="preserve"> </w:t>
      </w:r>
      <w:r>
        <w:rPr>
          <w:rFonts w:ascii="宋体" w:hAnsi="宋体"/>
          <w:bCs/>
          <w:sz w:val="24"/>
        </w:rPr>
        <w:t xml:space="preserve"> </w:t>
      </w:r>
      <w:r>
        <w:rPr>
          <w:rFonts w:hint="eastAsia" w:ascii="宋体" w:hAnsi="宋体"/>
          <w:bCs/>
          <w:sz w:val="24"/>
        </w:rPr>
        <w:t>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1.乙方要保证充电桩可正常使用充电枪数不低于90%，低于90%，每次处罚</w:t>
      </w:r>
      <w:r>
        <w:rPr>
          <w:rFonts w:hint="eastAsia" w:ascii="宋体" w:hAnsi="宋体"/>
          <w:sz w:val="24"/>
          <w:lang w:val="en-US" w:eastAsia="zh-CN"/>
        </w:rPr>
        <w:t>人民币</w:t>
      </w:r>
      <w:r>
        <w:rPr>
          <w:rFonts w:hint="eastAsia" w:ascii="宋体" w:hAnsi="宋体"/>
          <w:sz w:val="24"/>
        </w:rPr>
        <w:t>1000元，不及时缴纳罚金的，甲方有权解除合同，并扣留所有设备归甲方所有。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2.乙方拖欠甲方电费超过10个日历天，甲方有权解除合同，并扣留所有设备归甲方所有。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3.合同期内，未经甲方同意，不得以使用率底等为由私自拆走设备，或故意降低服务标准，不及时维修损坏设备等。否则扣除全部履约保证金，并扣留所有设备归甲方所有。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第十二条</w:t>
      </w:r>
      <w:r>
        <w:rPr>
          <w:rFonts w:ascii="宋体" w:hAnsi="宋体"/>
          <w:sz w:val="24"/>
        </w:rPr>
        <w:t xml:space="preserve">  </w:t>
      </w:r>
      <w:r>
        <w:rPr>
          <w:rFonts w:hint="eastAsia" w:ascii="宋体" w:hAnsi="宋体"/>
          <w:sz w:val="24"/>
        </w:rPr>
        <w:t>争议的解决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甲乙双方因本合同发生争议，应友好协商解决，协商不成的，任何一方有权向甲方所在地人民法院起诉。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 xml:space="preserve">第十三条 </w:t>
      </w:r>
      <w:r>
        <w:rPr>
          <w:rFonts w:ascii="宋体" w:hAnsi="宋体"/>
          <w:b/>
          <w:sz w:val="24"/>
        </w:rPr>
        <w:t xml:space="preserve"> </w:t>
      </w:r>
      <w:r>
        <w:rPr>
          <w:rFonts w:hint="eastAsia" w:ascii="宋体" w:hAnsi="宋体"/>
          <w:color w:val="000000"/>
          <w:sz w:val="24"/>
        </w:rPr>
        <w:t>合同文件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hint="eastAsia" w:ascii="宋体" w:hAnsi="宋体"/>
          <w:color w:val="000000"/>
          <w:sz w:val="24"/>
        </w:rPr>
        <w:t>下列文件是构成本合同不可分割的部分，与合同具有同等法律效力。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ascii="宋体" w:hAnsi="宋体"/>
          <w:color w:val="000000"/>
          <w:sz w:val="24"/>
        </w:rPr>
        <w:t>1</w:t>
      </w:r>
      <w:r>
        <w:rPr>
          <w:rFonts w:hint="eastAsia" w:ascii="宋体" w:hAnsi="宋体"/>
          <w:color w:val="000000"/>
          <w:sz w:val="24"/>
        </w:rPr>
        <w:t>.招标采购文件。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乙方提交的投标书。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ascii="宋体" w:hAnsi="宋体"/>
          <w:color w:val="000000"/>
          <w:sz w:val="24"/>
        </w:rPr>
        <w:t>3.</w:t>
      </w:r>
      <w:r>
        <w:rPr>
          <w:rFonts w:hint="eastAsia" w:ascii="宋体" w:hAnsi="宋体"/>
          <w:color w:val="000000"/>
          <w:sz w:val="24"/>
        </w:rPr>
        <w:t>乙方投标书的其他资料及承诺。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第十四条</w:t>
      </w:r>
      <w:r>
        <w:rPr>
          <w:rFonts w:hint="eastAsia" w:ascii="宋体" w:hAnsi="宋体"/>
          <w:sz w:val="24"/>
        </w:rPr>
        <w:t xml:space="preserve">  其他</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 xml:space="preserve">1.本合同自双方签字盖章之日起生效。本合同一式六份，甲方四份，乙方两份，具有同等法律效力。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2.本合同未尽事项，甲乙双方可另行订立补充协议。</w:t>
      </w:r>
    </w:p>
    <w:p>
      <w:pPr>
        <w:spacing w:line="440" w:lineRule="exact"/>
        <w:ind w:left="3640" w:hanging="3640" w:hangingChars="1300"/>
        <w:rPr>
          <w:rFonts w:hint="eastAsia" w:ascii="宋体" w:hAnsi="宋体"/>
          <w:sz w:val="28"/>
          <w:szCs w:val="28"/>
        </w:rPr>
        <w:sectPr>
          <w:pgSz w:w="11906" w:h="16838"/>
          <w:pgMar w:top="1383" w:right="1080" w:bottom="986" w:left="1080" w:header="851" w:footer="709" w:gutter="0"/>
          <w:cols w:space="720" w:num="1"/>
          <w:docGrid w:linePitch="312" w:charSpace="0"/>
        </w:sectPr>
      </w:pPr>
    </w:p>
    <w:p>
      <w:pPr>
        <w:spacing w:line="440" w:lineRule="exact"/>
        <w:ind w:left="3640" w:hanging="3640" w:hangingChars="1300"/>
        <w:rPr>
          <w:rFonts w:ascii="宋体" w:hAnsi="宋体"/>
          <w:sz w:val="28"/>
          <w:szCs w:val="28"/>
        </w:rPr>
      </w:pPr>
      <w:r>
        <w:rPr>
          <w:rFonts w:hint="eastAsia" w:ascii="宋体" w:hAnsi="宋体"/>
          <w:sz w:val="28"/>
          <w:szCs w:val="28"/>
        </w:rPr>
        <w:t xml:space="preserve">甲方：江苏师范大学科文学院    </w:t>
      </w:r>
    </w:p>
    <w:p>
      <w:pPr>
        <w:spacing w:line="440" w:lineRule="exact"/>
        <w:rPr>
          <w:rFonts w:ascii="宋体" w:hAnsi="宋体"/>
          <w:sz w:val="28"/>
          <w:szCs w:val="28"/>
        </w:rPr>
      </w:pPr>
      <w:r>
        <w:rPr>
          <w:rFonts w:hint="eastAsia" w:ascii="宋体" w:hAnsi="宋体"/>
          <w:sz w:val="28"/>
          <w:szCs w:val="28"/>
        </w:rPr>
        <w:t xml:space="preserve">地址：江苏省徐州市潘安湖科教  </w:t>
      </w:r>
    </w:p>
    <w:p>
      <w:pPr>
        <w:spacing w:line="440" w:lineRule="exact"/>
        <w:ind w:firstLine="840" w:firstLineChars="300"/>
        <w:rPr>
          <w:rFonts w:ascii="宋体" w:hAnsi="宋体"/>
          <w:sz w:val="28"/>
          <w:szCs w:val="28"/>
        </w:rPr>
      </w:pPr>
      <w:r>
        <w:rPr>
          <w:rFonts w:hint="eastAsia" w:ascii="宋体" w:hAnsi="宋体"/>
          <w:sz w:val="28"/>
          <w:szCs w:val="28"/>
        </w:rPr>
        <w:t>创新区学院路1号</w:t>
      </w:r>
    </w:p>
    <w:p>
      <w:pPr>
        <w:spacing w:line="440" w:lineRule="exact"/>
        <w:rPr>
          <w:rFonts w:ascii="宋体" w:hAnsi="宋体"/>
          <w:sz w:val="28"/>
          <w:szCs w:val="28"/>
        </w:rPr>
      </w:pPr>
      <w:r>
        <w:rPr>
          <w:rFonts w:hint="eastAsia" w:ascii="宋体" w:hAnsi="宋体"/>
          <w:sz w:val="28"/>
          <w:szCs w:val="28"/>
        </w:rPr>
        <w:t>税号：523200005092002406</w:t>
      </w:r>
      <w:r>
        <w:rPr>
          <w:rFonts w:ascii="宋体" w:hAnsi="宋体"/>
          <w:sz w:val="28"/>
          <w:szCs w:val="28"/>
        </w:rPr>
        <w:t xml:space="preserve">      </w:t>
      </w:r>
    </w:p>
    <w:p>
      <w:pPr>
        <w:ind w:left="2366" w:hanging="2366" w:hangingChars="845"/>
        <w:rPr>
          <w:rFonts w:ascii="宋体" w:hAnsi="宋体"/>
          <w:sz w:val="28"/>
          <w:szCs w:val="28"/>
        </w:rPr>
      </w:pPr>
      <w:r>
        <w:rPr>
          <w:rFonts w:hint="eastAsia" w:ascii="宋体" w:hAnsi="宋体"/>
          <w:sz w:val="28"/>
          <w:szCs w:val="28"/>
        </w:rPr>
        <w:t xml:space="preserve">开户行：中国银行股份有限公司 </w:t>
      </w:r>
      <w:r>
        <w:rPr>
          <w:rFonts w:ascii="宋体" w:hAnsi="宋体"/>
          <w:sz w:val="28"/>
          <w:szCs w:val="28"/>
        </w:rPr>
        <w:t xml:space="preserve"> </w:t>
      </w:r>
    </w:p>
    <w:p>
      <w:pPr>
        <w:spacing w:line="440" w:lineRule="exact"/>
        <w:rPr>
          <w:rFonts w:hint="eastAsia" w:ascii="宋体" w:hAnsi="宋体"/>
          <w:sz w:val="28"/>
          <w:szCs w:val="28"/>
        </w:rPr>
      </w:pPr>
      <w:r>
        <w:rPr>
          <w:rFonts w:hint="eastAsia" w:ascii="宋体" w:hAnsi="宋体"/>
          <w:sz w:val="28"/>
          <w:szCs w:val="28"/>
        </w:rPr>
        <w:t>账号：510558223412</w:t>
      </w:r>
      <w:r>
        <w:rPr>
          <w:rFonts w:ascii="宋体" w:hAnsi="宋体"/>
          <w:sz w:val="28"/>
          <w:szCs w:val="28"/>
        </w:rPr>
        <w:t xml:space="preserve">            </w:t>
      </w:r>
    </w:p>
    <w:p>
      <w:pPr>
        <w:spacing w:line="440" w:lineRule="exact"/>
        <w:rPr>
          <w:rFonts w:ascii="宋体" w:hAnsi="宋体"/>
          <w:sz w:val="28"/>
          <w:szCs w:val="28"/>
        </w:rPr>
      </w:pPr>
      <w:r>
        <w:rPr>
          <w:rFonts w:hint="eastAsia" w:ascii="宋体" w:hAnsi="宋体"/>
          <w:sz w:val="28"/>
          <w:szCs w:val="28"/>
        </w:rPr>
        <w:t>电话：0516-</w:t>
      </w:r>
      <w:r>
        <w:rPr>
          <w:rFonts w:ascii="宋体" w:hAnsi="宋体"/>
          <w:sz w:val="28"/>
          <w:szCs w:val="28"/>
        </w:rPr>
        <w:t xml:space="preserve">68161102           </w:t>
      </w:r>
    </w:p>
    <w:p>
      <w:pPr>
        <w:spacing w:line="440" w:lineRule="exact"/>
        <w:rPr>
          <w:rFonts w:ascii="宋体" w:hAnsi="宋体"/>
          <w:sz w:val="28"/>
          <w:szCs w:val="28"/>
        </w:rPr>
      </w:pPr>
      <w:r>
        <w:rPr>
          <w:rFonts w:hint="eastAsia" w:ascii="宋体" w:hAnsi="宋体"/>
          <w:sz w:val="28"/>
          <w:szCs w:val="28"/>
        </w:rPr>
        <w:t xml:space="preserve">甲方（盖章）： </w:t>
      </w:r>
      <w:r>
        <w:rPr>
          <w:rFonts w:ascii="宋体" w:hAnsi="宋体"/>
          <w:sz w:val="28"/>
          <w:szCs w:val="28"/>
        </w:rPr>
        <w:t xml:space="preserve">                </w:t>
      </w:r>
    </w:p>
    <w:p>
      <w:pPr>
        <w:spacing w:line="440" w:lineRule="exact"/>
        <w:rPr>
          <w:rFonts w:ascii="宋体" w:hAnsi="宋体"/>
          <w:sz w:val="28"/>
          <w:szCs w:val="28"/>
        </w:rPr>
      </w:pPr>
      <w:r>
        <w:rPr>
          <w:rFonts w:hint="eastAsia" w:ascii="宋体" w:hAnsi="宋体"/>
          <w:sz w:val="28"/>
          <w:szCs w:val="28"/>
        </w:rPr>
        <w:t>代表人(签字</w:t>
      </w:r>
      <w:r>
        <w:rPr>
          <w:rFonts w:ascii="宋体" w:hAnsi="宋体"/>
          <w:sz w:val="28"/>
          <w:szCs w:val="28"/>
        </w:rPr>
        <w:t>)</w:t>
      </w:r>
      <w:r>
        <w:rPr>
          <w:rFonts w:hint="eastAsia" w:ascii="宋体" w:hAnsi="宋体"/>
          <w:sz w:val="28"/>
          <w:szCs w:val="28"/>
        </w:rPr>
        <w:t xml:space="preserve">：                </w:t>
      </w:r>
    </w:p>
    <w:p>
      <w:pPr>
        <w:spacing w:line="440" w:lineRule="exact"/>
        <w:rPr>
          <w:rFonts w:ascii="宋体" w:hAnsi="宋体"/>
          <w:sz w:val="28"/>
          <w:szCs w:val="28"/>
        </w:rPr>
      </w:pPr>
      <w:r>
        <w:rPr>
          <w:rFonts w:hint="eastAsia" w:ascii="宋体" w:hAnsi="宋体"/>
          <w:sz w:val="28"/>
          <w:szCs w:val="28"/>
        </w:rPr>
        <w:t xml:space="preserve">日期：                        </w:t>
      </w:r>
    </w:p>
    <w:p>
      <w:pPr>
        <w:spacing w:line="440" w:lineRule="exact"/>
        <w:ind w:left="3640" w:hanging="3640" w:hangingChars="1300"/>
        <w:rPr>
          <w:rFonts w:ascii="宋体" w:hAnsi="宋体"/>
          <w:sz w:val="28"/>
          <w:szCs w:val="28"/>
        </w:rPr>
      </w:pPr>
      <w:r>
        <w:rPr>
          <w:rFonts w:hint="eastAsia" w:ascii="宋体" w:hAnsi="宋体"/>
          <w:sz w:val="28"/>
          <w:szCs w:val="28"/>
        </w:rPr>
        <w:t xml:space="preserve">乙方： </w:t>
      </w:r>
    </w:p>
    <w:p>
      <w:pPr>
        <w:spacing w:line="440" w:lineRule="exact"/>
        <w:rPr>
          <w:rFonts w:hint="eastAsia" w:ascii="宋体" w:hAnsi="宋体"/>
          <w:sz w:val="28"/>
          <w:szCs w:val="28"/>
        </w:rPr>
      </w:pPr>
      <w:r>
        <w:rPr>
          <w:rFonts w:hint="eastAsia" w:ascii="宋体" w:hAnsi="宋体"/>
          <w:sz w:val="28"/>
          <w:szCs w:val="28"/>
        </w:rPr>
        <w:t xml:space="preserve">地址： </w:t>
      </w:r>
    </w:p>
    <w:p>
      <w:pPr>
        <w:spacing w:line="440" w:lineRule="exact"/>
        <w:rPr>
          <w:rFonts w:ascii="宋体" w:hAnsi="宋体"/>
          <w:sz w:val="28"/>
          <w:szCs w:val="28"/>
        </w:rPr>
      </w:pPr>
      <w:r>
        <w:rPr>
          <w:rFonts w:hint="eastAsia" w:ascii="宋体" w:hAnsi="宋体"/>
          <w:sz w:val="28"/>
          <w:szCs w:val="28"/>
        </w:rPr>
        <w:t>税号：</w:t>
      </w:r>
      <w:r>
        <w:rPr>
          <w:rFonts w:ascii="宋体" w:hAnsi="宋体"/>
          <w:sz w:val="28"/>
          <w:szCs w:val="28"/>
        </w:rPr>
        <w:t xml:space="preserve"> </w:t>
      </w:r>
    </w:p>
    <w:p>
      <w:pPr>
        <w:ind w:left="2366" w:hanging="2366" w:hangingChars="845"/>
        <w:rPr>
          <w:rFonts w:ascii="宋体" w:hAnsi="宋体"/>
          <w:sz w:val="28"/>
          <w:szCs w:val="28"/>
        </w:rPr>
      </w:pPr>
      <w:r>
        <w:rPr>
          <w:rFonts w:hint="eastAsia" w:ascii="宋体" w:hAnsi="宋体"/>
          <w:sz w:val="28"/>
          <w:szCs w:val="28"/>
        </w:rPr>
        <w:t xml:space="preserve">开户行： </w:t>
      </w:r>
    </w:p>
    <w:p>
      <w:pPr>
        <w:spacing w:line="440" w:lineRule="exact"/>
        <w:rPr>
          <w:rFonts w:ascii="宋体" w:hAnsi="宋体"/>
          <w:sz w:val="28"/>
          <w:szCs w:val="28"/>
        </w:rPr>
      </w:pPr>
      <w:r>
        <w:rPr>
          <w:rFonts w:hint="eastAsia" w:ascii="宋体" w:hAnsi="宋体"/>
          <w:sz w:val="28"/>
          <w:szCs w:val="28"/>
        </w:rPr>
        <w:t>账号：</w:t>
      </w:r>
    </w:p>
    <w:p>
      <w:pPr>
        <w:spacing w:line="440" w:lineRule="exact"/>
        <w:rPr>
          <w:rFonts w:ascii="宋体" w:hAnsi="宋体"/>
          <w:sz w:val="28"/>
          <w:szCs w:val="28"/>
        </w:rPr>
      </w:pPr>
      <w:r>
        <w:rPr>
          <w:rFonts w:hint="eastAsia" w:ascii="宋体" w:hAnsi="宋体"/>
          <w:sz w:val="28"/>
          <w:szCs w:val="28"/>
        </w:rPr>
        <w:t>电话：</w:t>
      </w:r>
    </w:p>
    <w:p>
      <w:pPr>
        <w:spacing w:line="440" w:lineRule="exact"/>
        <w:rPr>
          <w:rFonts w:ascii="宋体" w:hAnsi="宋体"/>
          <w:sz w:val="28"/>
          <w:szCs w:val="28"/>
        </w:rPr>
      </w:pPr>
      <w:r>
        <w:rPr>
          <w:rFonts w:hint="eastAsia" w:ascii="宋体" w:hAnsi="宋体"/>
          <w:sz w:val="28"/>
          <w:szCs w:val="28"/>
        </w:rPr>
        <w:t>乙方（盖章）：</w:t>
      </w:r>
    </w:p>
    <w:p>
      <w:pPr>
        <w:spacing w:line="440" w:lineRule="exact"/>
        <w:rPr>
          <w:rFonts w:ascii="宋体" w:hAnsi="宋体"/>
          <w:sz w:val="28"/>
          <w:szCs w:val="28"/>
        </w:rPr>
      </w:pPr>
      <w:r>
        <w:rPr>
          <w:rFonts w:hint="eastAsia" w:ascii="宋体" w:hAnsi="宋体"/>
          <w:sz w:val="28"/>
          <w:szCs w:val="28"/>
        </w:rPr>
        <w:t>代表人(签字</w:t>
      </w:r>
      <w:r>
        <w:rPr>
          <w:rFonts w:ascii="宋体" w:hAnsi="宋体"/>
          <w:sz w:val="28"/>
          <w:szCs w:val="28"/>
        </w:rPr>
        <w:t>)</w:t>
      </w:r>
      <w:r>
        <w:rPr>
          <w:rFonts w:hint="eastAsia" w:ascii="宋体" w:hAnsi="宋体"/>
          <w:sz w:val="28"/>
          <w:szCs w:val="28"/>
        </w:rPr>
        <w:t>：</w:t>
      </w:r>
    </w:p>
    <w:p>
      <w:pPr>
        <w:spacing w:line="440" w:lineRule="exact"/>
        <w:rPr>
          <w:rFonts w:ascii="宋体" w:hAnsi="宋体"/>
          <w:sz w:val="28"/>
          <w:szCs w:val="28"/>
        </w:rPr>
      </w:pPr>
      <w:r>
        <w:rPr>
          <w:rFonts w:hint="eastAsia" w:ascii="宋体" w:hAnsi="宋体"/>
          <w:sz w:val="28"/>
          <w:szCs w:val="28"/>
        </w:rPr>
        <w:t>日期：</w:t>
      </w:r>
    </w:p>
    <w:p>
      <w:pPr>
        <w:pStyle w:val="16"/>
        <w:ind w:firstLine="0" w:firstLineChars="0"/>
      </w:pPr>
    </w:p>
    <w:p>
      <w:pPr>
        <w:pStyle w:val="16"/>
        <w:ind w:firstLine="0" w:firstLineChars="0"/>
        <w:sectPr>
          <w:type w:val="continuous"/>
          <w:pgSz w:w="11906" w:h="16838"/>
          <w:pgMar w:top="1383" w:right="1080" w:bottom="986" w:left="1080" w:header="851" w:footer="709" w:gutter="0"/>
          <w:cols w:equalWidth="0" w:num="2">
            <w:col w:w="4660" w:space="425"/>
            <w:col w:w="4660"/>
          </w:cols>
          <w:docGrid w:linePitch="312" w:charSpace="0"/>
        </w:sectPr>
      </w:pPr>
    </w:p>
    <w:p>
      <w:pPr>
        <w:pStyle w:val="16"/>
        <w:ind w:firstLine="0" w:firstLineChars="0"/>
      </w:pPr>
    </w:p>
    <w:p>
      <w:pPr>
        <w:pStyle w:val="16"/>
        <w:ind w:firstLine="0" w:firstLineChars="0"/>
        <w:sectPr>
          <w:type w:val="continuous"/>
          <w:pgSz w:w="11906" w:h="16838"/>
          <w:pgMar w:top="1383" w:right="1080" w:bottom="986" w:left="1080" w:header="851" w:footer="709" w:gutter="0"/>
          <w:cols w:space="720" w:num="1"/>
          <w:docGrid w:linePitch="312" w:charSpace="0"/>
        </w:sectPr>
      </w:pPr>
    </w:p>
    <w:p>
      <w:pPr>
        <w:numPr>
          <w:ilvl w:val="0"/>
          <w:numId w:val="5"/>
        </w:numPr>
        <w:spacing w:line="400" w:lineRule="exact"/>
        <w:jc w:val="center"/>
        <w:rPr>
          <w:b/>
          <w:bCs/>
          <w:sz w:val="32"/>
          <w:szCs w:val="32"/>
        </w:rPr>
      </w:pPr>
      <w:r>
        <w:rPr>
          <w:rFonts w:hint="eastAsia"/>
          <w:b/>
          <w:bCs/>
          <w:sz w:val="32"/>
          <w:szCs w:val="32"/>
        </w:rPr>
        <w:t xml:space="preserve">   投标文件格式</w:t>
      </w:r>
    </w:p>
    <w:p>
      <w:pPr>
        <w:pStyle w:val="2"/>
      </w:pPr>
    </w:p>
    <w:p>
      <w:pPr>
        <w:ind w:firstLine="482" w:firstLineChars="200"/>
        <w:rPr>
          <w:rFonts w:ascii="宋体" w:hAnsi="宋体"/>
          <w:b/>
          <w:bCs/>
          <w:kern w:val="0"/>
          <w:sz w:val="24"/>
        </w:rPr>
      </w:pPr>
      <w:r>
        <w:rPr>
          <w:rFonts w:hint="eastAsia" w:ascii="宋体" w:hAnsi="宋体"/>
          <w:b/>
          <w:sz w:val="24"/>
        </w:rPr>
        <w:t xml:space="preserve">   投标人提交文件须知：</w:t>
      </w:r>
    </w:p>
    <w:p>
      <w:pPr>
        <w:pStyle w:val="19"/>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w:t>
      </w:r>
      <w:r>
        <w:rPr>
          <w:rFonts w:hint="eastAsia"/>
          <w:i/>
          <w:sz w:val="24"/>
          <w:szCs w:val="24"/>
        </w:rPr>
        <w:t>第一章总则 4.投标文件的编制</w:t>
      </w:r>
      <w:r>
        <w:rPr>
          <w:rFonts w:hint="eastAsia"/>
          <w:sz w:val="24"/>
          <w:szCs w:val="24"/>
        </w:rPr>
        <w:t>”要求进行，混乱的编排以致投标文件被误读或采购人查找不到有效文件，后果由投标人承担</w:t>
      </w:r>
    </w:p>
    <w:p>
      <w:pPr>
        <w:pStyle w:val="19"/>
        <w:numPr>
          <w:ilvl w:val="0"/>
          <w:numId w:val="0"/>
        </w:numPr>
        <w:ind w:firstLine="480" w:firstLineChars="200"/>
        <w:rPr>
          <w:sz w:val="24"/>
          <w:szCs w:val="24"/>
        </w:rPr>
      </w:pPr>
      <w:r>
        <w:rPr>
          <w:rFonts w:hint="eastAsia"/>
          <w:sz w:val="24"/>
          <w:szCs w:val="24"/>
        </w:rPr>
        <w:t>2.所附表格中要求回答的全部问题和信息都必须正面回答。</w:t>
      </w:r>
    </w:p>
    <w:p>
      <w:pPr>
        <w:pStyle w:val="19"/>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pPr>
        <w:pStyle w:val="19"/>
        <w:numPr>
          <w:ilvl w:val="0"/>
          <w:numId w:val="0"/>
        </w:numPr>
        <w:rPr>
          <w:b/>
          <w:sz w:val="24"/>
          <w:szCs w:val="24"/>
        </w:rPr>
      </w:pPr>
      <w:r>
        <w:rPr>
          <w:rFonts w:hint="eastAsia"/>
          <w:b/>
          <w:sz w:val="24"/>
          <w:szCs w:val="24"/>
        </w:rPr>
        <w:br w:type="page"/>
      </w:r>
      <w:r>
        <w:rPr>
          <w:rFonts w:hint="eastAsia"/>
          <w:b/>
          <w:sz w:val="24"/>
          <w:szCs w:val="24"/>
        </w:rPr>
        <w:t>(一)投标函</w:t>
      </w:r>
    </w:p>
    <w:p>
      <w:pPr>
        <w:pStyle w:val="22"/>
        <w:adjustRightInd/>
        <w:rPr>
          <w:kern w:val="2"/>
          <w:sz w:val="24"/>
          <w:szCs w:val="24"/>
        </w:rPr>
      </w:pPr>
      <w:r>
        <w:rPr>
          <w:rFonts w:hint="eastAsia"/>
          <w:kern w:val="2"/>
          <w:sz w:val="24"/>
          <w:szCs w:val="24"/>
          <w:u w:val="single"/>
        </w:rPr>
        <w:t>江苏师范大学科文学院</w:t>
      </w:r>
      <w:r>
        <w:rPr>
          <w:rFonts w:hint="eastAsia"/>
          <w:kern w:val="2"/>
          <w:sz w:val="24"/>
          <w:szCs w:val="24"/>
        </w:rPr>
        <w:t>：</w:t>
      </w:r>
    </w:p>
    <w:p>
      <w:pPr>
        <w:widowControl/>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(项目名称、项目编号)采购的有关活动，并对此项目进行投标，为此：</w:t>
      </w:r>
    </w:p>
    <w:p>
      <w:pPr>
        <w:pStyle w:val="19"/>
        <w:numPr>
          <w:ilvl w:val="0"/>
          <w:numId w:val="0"/>
        </w:numPr>
        <w:ind w:left="2" w:leftChars="1" w:firstLine="480" w:firstLineChars="200"/>
        <w:rPr>
          <w:sz w:val="24"/>
          <w:szCs w:val="24"/>
        </w:rPr>
      </w:pPr>
      <w:r>
        <w:rPr>
          <w:rFonts w:hint="eastAsia"/>
          <w:sz w:val="24"/>
          <w:szCs w:val="24"/>
        </w:rPr>
        <w:t>1.我方同意在本项目招标文件中规定的投标日起</w:t>
      </w:r>
      <w:r>
        <w:rPr>
          <w:rFonts w:hint="eastAsia"/>
          <w:color w:val="000000"/>
          <w:sz w:val="24"/>
          <w:szCs w:val="24"/>
          <w:u w:val="single"/>
        </w:rPr>
        <w:t>90日内</w:t>
      </w:r>
      <w:r>
        <w:rPr>
          <w:rFonts w:hint="eastAsia"/>
          <w:sz w:val="24"/>
          <w:szCs w:val="24"/>
        </w:rPr>
        <w:t>遵守本文中的承诺且在此期限期满之前均具有约束力。</w:t>
      </w:r>
    </w:p>
    <w:p>
      <w:pPr>
        <w:pStyle w:val="19"/>
        <w:numPr>
          <w:ilvl w:val="0"/>
          <w:numId w:val="0"/>
        </w:numPr>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pPr>
        <w:pStyle w:val="19"/>
        <w:numPr>
          <w:ilvl w:val="0"/>
          <w:numId w:val="0"/>
        </w:numPr>
        <w:ind w:left="2" w:leftChars="1" w:firstLine="480" w:firstLineChars="200"/>
        <w:rPr>
          <w:sz w:val="24"/>
          <w:szCs w:val="24"/>
        </w:rPr>
      </w:pPr>
      <w:r>
        <w:rPr>
          <w:rFonts w:hint="eastAsia"/>
          <w:sz w:val="24"/>
          <w:szCs w:val="24"/>
        </w:rPr>
        <w:t>3.提供投标须知规定的全部招标文件，包括招标文件</w:t>
      </w:r>
      <w:r>
        <w:rPr>
          <w:rFonts w:hint="eastAsia"/>
          <w:b/>
          <w:sz w:val="24"/>
          <w:szCs w:val="24"/>
        </w:rPr>
        <w:t>正本1份，副本4份</w:t>
      </w:r>
      <w:r>
        <w:rPr>
          <w:rFonts w:hint="eastAsia"/>
          <w:sz w:val="24"/>
          <w:szCs w:val="24"/>
        </w:rPr>
        <w:t>。</w:t>
      </w:r>
    </w:p>
    <w:p>
      <w:pPr>
        <w:pStyle w:val="19"/>
        <w:numPr>
          <w:ilvl w:val="0"/>
          <w:numId w:val="0"/>
        </w:numPr>
        <w:ind w:left="2" w:leftChars="1" w:firstLine="480" w:firstLineChars="200"/>
        <w:rPr>
          <w:sz w:val="24"/>
          <w:szCs w:val="24"/>
        </w:rPr>
      </w:pPr>
      <w:r>
        <w:rPr>
          <w:rFonts w:hint="eastAsia"/>
          <w:sz w:val="24"/>
          <w:szCs w:val="24"/>
        </w:rPr>
        <w:t>4.按招标文件要求提供和交付的货物和服务的投标详见报价明细表及服务方案。</w:t>
      </w:r>
    </w:p>
    <w:p>
      <w:pPr>
        <w:pStyle w:val="19"/>
        <w:numPr>
          <w:ilvl w:val="0"/>
          <w:numId w:val="0"/>
        </w:numPr>
        <w:ind w:left="2" w:leftChars="1" w:firstLine="480" w:firstLineChars="200"/>
        <w:rPr>
          <w:sz w:val="24"/>
          <w:szCs w:val="24"/>
        </w:rPr>
      </w:pPr>
      <w:r>
        <w:rPr>
          <w:rFonts w:hint="eastAsia"/>
          <w:sz w:val="24"/>
          <w:szCs w:val="24"/>
        </w:rPr>
        <w:t>5.保证忠实执行双方签订的合同，并承担合同规定的责任和义务。</w:t>
      </w:r>
    </w:p>
    <w:p>
      <w:pPr>
        <w:pStyle w:val="19"/>
        <w:numPr>
          <w:ilvl w:val="0"/>
          <w:numId w:val="0"/>
        </w:numPr>
        <w:ind w:left="2" w:leftChars="1" w:firstLine="480" w:firstLineChars="200"/>
        <w:rPr>
          <w:sz w:val="24"/>
          <w:szCs w:val="24"/>
        </w:rPr>
      </w:pPr>
      <w:r>
        <w:rPr>
          <w:rFonts w:hint="eastAsia"/>
          <w:sz w:val="24"/>
          <w:szCs w:val="24"/>
        </w:rPr>
        <w:t>6.保证遵守招标文件的各项规定。</w:t>
      </w:r>
    </w:p>
    <w:p>
      <w:pPr>
        <w:pStyle w:val="19"/>
        <w:numPr>
          <w:ilvl w:val="0"/>
          <w:numId w:val="0"/>
        </w:numPr>
        <w:ind w:left="2" w:leftChars="1" w:firstLine="480" w:firstLineChars="200"/>
        <w:rPr>
          <w:sz w:val="24"/>
          <w:szCs w:val="24"/>
        </w:rPr>
      </w:pPr>
      <w:r>
        <w:rPr>
          <w:rFonts w:hint="eastAsia"/>
          <w:sz w:val="24"/>
          <w:szCs w:val="24"/>
        </w:rPr>
        <w:t>7.如果在规定的投标有效期内撤回投标，我方同意将被列入不良记录名单。</w:t>
      </w:r>
    </w:p>
    <w:p>
      <w:pPr>
        <w:pStyle w:val="19"/>
        <w:numPr>
          <w:ilvl w:val="0"/>
          <w:numId w:val="0"/>
        </w:numPr>
        <w:ind w:left="2" w:leftChars="1" w:firstLine="480" w:firstLineChars="200"/>
        <w:rPr>
          <w:sz w:val="24"/>
          <w:szCs w:val="24"/>
        </w:rPr>
      </w:pPr>
      <w:r>
        <w:rPr>
          <w:rFonts w:hint="eastAsia"/>
          <w:sz w:val="24"/>
          <w:szCs w:val="24"/>
        </w:rPr>
        <w:t>8.我方完全理解贵方不一定接受最低价的投标。</w:t>
      </w:r>
    </w:p>
    <w:p>
      <w:pPr>
        <w:pStyle w:val="19"/>
        <w:numPr>
          <w:ilvl w:val="0"/>
          <w:numId w:val="0"/>
        </w:numPr>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pPr>
        <w:pStyle w:val="19"/>
        <w:numPr>
          <w:ilvl w:val="0"/>
          <w:numId w:val="0"/>
        </w:numPr>
        <w:ind w:left="2" w:leftChars="1" w:firstLine="480" w:firstLineChars="200"/>
        <w:rPr>
          <w:sz w:val="24"/>
          <w:szCs w:val="24"/>
        </w:rPr>
      </w:pPr>
      <w:r>
        <w:rPr>
          <w:rFonts w:hint="eastAsia"/>
          <w:sz w:val="24"/>
          <w:szCs w:val="24"/>
        </w:rPr>
        <w:t>10.我方承诺：采购人如果需追加采购本项目招标文件所列货物及相关服务的，在不改变合同其他实质性条款的前提下，按相同或更优惠的折扣保证供货。</w:t>
      </w:r>
    </w:p>
    <w:p>
      <w:pPr>
        <w:pStyle w:val="19"/>
        <w:numPr>
          <w:ilvl w:val="0"/>
          <w:numId w:val="0"/>
        </w:numPr>
        <w:ind w:left="2" w:leftChars="1" w:firstLine="480" w:firstLineChars="200"/>
        <w:rPr>
          <w:sz w:val="24"/>
          <w:szCs w:val="24"/>
        </w:rPr>
      </w:pPr>
      <w:r>
        <w:rPr>
          <w:rFonts w:hint="eastAsia"/>
          <w:sz w:val="24"/>
          <w:szCs w:val="24"/>
        </w:rPr>
        <w:t>11.我方承诺接受招标文件中《成交合同》的全部条款且无任何异议。</w:t>
      </w:r>
    </w:p>
    <w:p>
      <w:pPr>
        <w:pStyle w:val="19"/>
        <w:numPr>
          <w:ilvl w:val="0"/>
          <w:numId w:val="0"/>
        </w:numPr>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院采购活动；有违法所得的，并处没收违法所得；情节严重的，由工商行政管理机关吊销营业执照；构成犯罪的，依法追究刑事责任：</w:t>
      </w:r>
    </w:p>
    <w:p>
      <w:pPr>
        <w:numPr>
          <w:ilvl w:val="0"/>
          <w:numId w:val="6"/>
        </w:numPr>
        <w:ind w:left="0" w:firstLine="480" w:firstLineChars="200"/>
        <w:rPr>
          <w:rFonts w:ascii="宋体" w:hAnsi="宋体"/>
          <w:sz w:val="24"/>
        </w:rPr>
      </w:pPr>
      <w:r>
        <w:rPr>
          <w:rFonts w:hint="eastAsia" w:ascii="宋体" w:hAnsi="宋体"/>
          <w:sz w:val="24"/>
        </w:rPr>
        <w:t>提供虚假材料谋取成交的；</w:t>
      </w:r>
    </w:p>
    <w:p>
      <w:pPr>
        <w:numPr>
          <w:ilvl w:val="0"/>
          <w:numId w:val="6"/>
        </w:numPr>
        <w:ind w:left="0" w:firstLine="480" w:firstLineChars="200"/>
        <w:rPr>
          <w:rFonts w:ascii="宋体" w:hAnsi="宋体"/>
          <w:sz w:val="24"/>
        </w:rPr>
      </w:pPr>
      <w:r>
        <w:rPr>
          <w:rFonts w:hint="eastAsia" w:ascii="宋体" w:hAnsi="宋体"/>
          <w:sz w:val="24"/>
        </w:rPr>
        <w:t>采取不正当手段诋毁、排挤其他供应商的；</w:t>
      </w:r>
    </w:p>
    <w:p>
      <w:pPr>
        <w:numPr>
          <w:ilvl w:val="0"/>
          <w:numId w:val="6"/>
        </w:numPr>
        <w:ind w:left="0" w:firstLine="480" w:firstLineChars="200"/>
        <w:rPr>
          <w:rFonts w:ascii="宋体" w:hAnsi="宋体"/>
          <w:sz w:val="24"/>
        </w:rPr>
      </w:pPr>
      <w:r>
        <w:rPr>
          <w:rFonts w:hint="eastAsia" w:ascii="宋体" w:hAnsi="宋体"/>
          <w:sz w:val="24"/>
        </w:rPr>
        <w:t>与采购人、其它供应商或者采购人工作人员恶意串通的；</w:t>
      </w:r>
    </w:p>
    <w:p>
      <w:pPr>
        <w:numPr>
          <w:ilvl w:val="0"/>
          <w:numId w:val="6"/>
        </w:numPr>
        <w:ind w:left="0" w:firstLine="480" w:firstLineChars="200"/>
        <w:rPr>
          <w:rFonts w:ascii="宋体" w:hAnsi="宋体"/>
          <w:sz w:val="24"/>
        </w:rPr>
      </w:pPr>
      <w:r>
        <w:rPr>
          <w:rFonts w:hint="eastAsia" w:ascii="宋体" w:hAnsi="宋体"/>
          <w:sz w:val="24"/>
        </w:rPr>
        <w:t>向采购人、采购人工作人员行贿或者提供其他不正当利益的；</w:t>
      </w:r>
    </w:p>
    <w:p>
      <w:pPr>
        <w:numPr>
          <w:ilvl w:val="0"/>
          <w:numId w:val="6"/>
        </w:numPr>
        <w:ind w:left="0" w:firstLine="480" w:firstLineChars="200"/>
        <w:rPr>
          <w:rFonts w:ascii="宋体" w:hAnsi="宋体"/>
          <w:sz w:val="24"/>
        </w:rPr>
      </w:pPr>
      <w:r>
        <w:rPr>
          <w:rFonts w:hint="eastAsia" w:ascii="宋体" w:hAnsi="宋体"/>
          <w:sz w:val="24"/>
        </w:rPr>
        <w:t>未经采购人同意，在采购过程中与采购人进行协商招标的；</w:t>
      </w:r>
    </w:p>
    <w:p>
      <w:pPr>
        <w:numPr>
          <w:ilvl w:val="0"/>
          <w:numId w:val="6"/>
        </w:numPr>
        <w:ind w:left="0" w:firstLine="480" w:firstLineChars="200"/>
        <w:rPr>
          <w:rFonts w:ascii="宋体" w:hAnsi="宋体"/>
          <w:sz w:val="24"/>
        </w:rPr>
      </w:pPr>
      <w:r>
        <w:rPr>
          <w:rFonts w:hint="eastAsia" w:ascii="宋体" w:hAnsi="宋体"/>
          <w:sz w:val="24"/>
        </w:rPr>
        <w:t>拒绝有关部门监督检查或提供虚假情况的；</w:t>
      </w:r>
    </w:p>
    <w:p>
      <w:pPr>
        <w:numPr>
          <w:ilvl w:val="0"/>
          <w:numId w:val="6"/>
        </w:numPr>
        <w:ind w:left="0" w:firstLine="480" w:firstLineChars="200"/>
        <w:rPr>
          <w:rFonts w:ascii="宋体" w:hAnsi="宋体"/>
          <w:sz w:val="24"/>
        </w:rPr>
      </w:pPr>
      <w:r>
        <w:rPr>
          <w:rFonts w:hint="eastAsia" w:ascii="宋体" w:hAnsi="宋体"/>
          <w:sz w:val="24"/>
        </w:rPr>
        <w:t>拒绝质量技术监督部门对投标样品或成交货物作质量检验的。</w:t>
      </w:r>
    </w:p>
    <w:p>
      <w:pPr>
        <w:ind w:firstLine="480" w:firstLineChars="200"/>
        <w:rPr>
          <w:rFonts w:ascii="宋体" w:hAnsi="宋体"/>
          <w:sz w:val="24"/>
        </w:rPr>
      </w:pPr>
      <w:r>
        <w:rPr>
          <w:rFonts w:hint="eastAsia" w:ascii="宋体" w:hAnsi="宋体"/>
          <w:sz w:val="24"/>
        </w:rPr>
        <w:t>与本投标有关的一切往来通讯请寄：</w:t>
      </w:r>
    </w:p>
    <w:p>
      <w:pPr>
        <w:tabs>
          <w:tab w:val="left" w:pos="480"/>
        </w:tabs>
        <w:ind w:firstLine="480" w:firstLineChars="200"/>
        <w:rPr>
          <w:rFonts w:ascii="宋体" w:hAnsi="宋体"/>
          <w:sz w:val="24"/>
        </w:rPr>
      </w:pPr>
      <w:r>
        <w:rPr>
          <w:rFonts w:hint="eastAsia" w:ascii="宋体" w:hAnsi="宋体"/>
          <w:sz w:val="24"/>
        </w:rPr>
        <w:t xml:space="preserve">地址：__________________________  </w:t>
      </w:r>
    </w:p>
    <w:p>
      <w:pPr>
        <w:tabs>
          <w:tab w:val="left" w:pos="480"/>
        </w:tabs>
        <w:ind w:firstLine="480" w:firstLineChars="200"/>
        <w:rPr>
          <w:rFonts w:ascii="宋体" w:hAnsi="宋体"/>
          <w:sz w:val="24"/>
        </w:rPr>
      </w:pPr>
      <w:r>
        <w:rPr>
          <w:rFonts w:hint="eastAsia" w:ascii="宋体" w:hAnsi="宋体"/>
          <w:sz w:val="24"/>
        </w:rPr>
        <w:t>邮编：__________________________</w:t>
      </w:r>
    </w:p>
    <w:p>
      <w:pPr>
        <w:tabs>
          <w:tab w:val="left" w:pos="480"/>
        </w:tabs>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pPr>
        <w:ind w:firstLine="480" w:firstLineChars="200"/>
        <w:rPr>
          <w:rFonts w:ascii="宋体" w:hAnsi="宋体"/>
          <w:sz w:val="24"/>
        </w:rPr>
      </w:pPr>
      <w:r>
        <w:rPr>
          <w:rFonts w:hint="eastAsia" w:ascii="宋体" w:hAnsi="宋体"/>
          <w:sz w:val="24"/>
        </w:rPr>
        <w:t>法定代表人签字：_________________</w:t>
      </w:r>
    </w:p>
    <w:p>
      <w:pPr>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pPr>
        <w:ind w:firstLine="5040" w:firstLineChars="2100"/>
        <w:rPr>
          <w:rFonts w:ascii="宋体" w:hAnsi="宋体"/>
          <w:sz w:val="24"/>
        </w:rPr>
      </w:pPr>
    </w:p>
    <w:p>
      <w:pPr>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4" w:name="_Toc20988289"/>
      <w:bookmarkStart w:id="5" w:name="_Toc20816120"/>
      <w:bookmarkStart w:id="6" w:name="_Toc21001363"/>
      <w:bookmarkStart w:id="7" w:name="_Toc21000519"/>
      <w:bookmarkStart w:id="8" w:name="_Toc20642290"/>
      <w:bookmarkStart w:id="9" w:name="_Toc36287943"/>
    </w:p>
    <w:p>
      <w:pPr>
        <w:jc w:val="left"/>
        <w:rPr>
          <w:rFonts w:ascii="宋体" w:hAnsi="宋体"/>
          <w:b/>
          <w:bCs/>
          <w:kern w:val="0"/>
          <w:sz w:val="24"/>
        </w:rPr>
      </w:pPr>
      <w:r>
        <w:rPr>
          <w:rFonts w:hint="eastAsia" w:ascii="宋体" w:hAnsi="宋体"/>
          <w:b/>
          <w:bCs/>
          <w:kern w:val="0"/>
          <w:sz w:val="24"/>
        </w:rPr>
        <w:br w:type="page"/>
      </w:r>
    </w:p>
    <w:p>
      <w:pPr>
        <w:jc w:val="left"/>
        <w:rPr>
          <w:rFonts w:ascii="宋体" w:hAnsi="宋体"/>
          <w:sz w:val="24"/>
        </w:rPr>
      </w:pPr>
      <w:r>
        <w:rPr>
          <w:rFonts w:hint="eastAsia" w:ascii="宋体" w:hAnsi="宋体"/>
          <w:b/>
          <w:bCs/>
          <w:kern w:val="0"/>
          <w:sz w:val="24"/>
        </w:rPr>
        <w:t>（二）投标报价一览表</w:t>
      </w:r>
    </w:p>
    <w:p>
      <w:pPr>
        <w:rPr>
          <w:rFonts w:ascii="宋体" w:hAnsi="宋体"/>
          <w:b/>
          <w:bCs/>
          <w:sz w:val="24"/>
        </w:rPr>
      </w:pPr>
    </w:p>
    <w:p>
      <w:pPr>
        <w:spacing w:line="480" w:lineRule="exact"/>
        <w:rPr>
          <w:u w:val="single"/>
        </w:rPr>
      </w:pPr>
      <w:r>
        <w:rPr>
          <w:rFonts w:hint="eastAsia"/>
        </w:rPr>
        <w:t>项目名称：</w:t>
      </w:r>
      <w:r>
        <w:rPr>
          <w:rFonts w:hint="eastAsia"/>
          <w:u w:val="single"/>
        </w:rPr>
        <w:t>江苏师范大学科文学院潘安湖校区新能源汽车充电桩建设及运营服务项目</w:t>
      </w:r>
    </w:p>
    <w:p>
      <w:pPr>
        <w:spacing w:line="480" w:lineRule="exact"/>
        <w:rPr>
          <w:u w:val="single"/>
        </w:rPr>
      </w:pPr>
      <w:r>
        <w:rPr>
          <w:rFonts w:hint="eastAsia"/>
        </w:rPr>
        <w:t>项目编号：</w:t>
      </w:r>
      <w:r>
        <w:rPr>
          <w:rFonts w:hint="eastAsia"/>
          <w:u w:val="single"/>
        </w:rPr>
        <w:t>2023F0308</w:t>
      </w:r>
    </w:p>
    <w:p>
      <w:pPr>
        <w:spacing w:line="480" w:lineRule="exact"/>
        <w:ind w:firstLine="1890" w:firstLineChars="900"/>
      </w:pPr>
      <w:r>
        <w:rPr>
          <w:rFonts w:hint="eastAsia"/>
        </w:rPr>
        <w:t xml:space="preserve">                                                     单位：人民币·元</w:t>
      </w:r>
    </w:p>
    <w:tbl>
      <w:tblPr>
        <w:tblStyle w:val="13"/>
        <w:tblW w:w="0" w:type="auto"/>
        <w:jc w:val="center"/>
        <w:tblLayout w:type="fixed"/>
        <w:tblCellMar>
          <w:top w:w="0" w:type="dxa"/>
          <w:left w:w="108" w:type="dxa"/>
          <w:bottom w:w="0" w:type="dxa"/>
          <w:right w:w="108" w:type="dxa"/>
        </w:tblCellMar>
      </w:tblPr>
      <w:tblGrid>
        <w:gridCol w:w="834"/>
        <w:gridCol w:w="2131"/>
        <w:gridCol w:w="4005"/>
        <w:gridCol w:w="1822"/>
      </w:tblGrid>
      <w:tr>
        <w:tblPrEx>
          <w:tblCellMar>
            <w:top w:w="0" w:type="dxa"/>
            <w:left w:w="108" w:type="dxa"/>
            <w:bottom w:w="0" w:type="dxa"/>
            <w:right w:w="108" w:type="dxa"/>
          </w:tblCellMar>
        </w:tblPrEx>
        <w:trPr>
          <w:trHeight w:val="691" w:hRule="atLeast"/>
          <w:jc w:val="center"/>
        </w:trPr>
        <w:tc>
          <w:tcPr>
            <w:tcW w:w="834" w:type="dxa"/>
            <w:tcBorders>
              <w:top w:val="single" w:color="000000" w:sz="8" w:space="0"/>
              <w:left w:val="single" w:color="000000" w:sz="8" w:space="0"/>
              <w:bottom w:val="single" w:color="000000" w:sz="4" w:space="0"/>
              <w:right w:val="single" w:color="auto" w:sz="4" w:space="0"/>
            </w:tcBorders>
            <w:shd w:val="clear" w:color="FFFFFF" w:fill="FFFFFF"/>
            <w:vAlign w:val="center"/>
          </w:tcPr>
          <w:p>
            <w:pPr>
              <w:spacing w:line="440" w:lineRule="exact"/>
              <w:jc w:val="center"/>
            </w:pPr>
            <w:r>
              <w:rPr>
                <w:rFonts w:hint="eastAsia"/>
              </w:rPr>
              <w:t>序号</w:t>
            </w:r>
          </w:p>
        </w:tc>
        <w:tc>
          <w:tcPr>
            <w:tcW w:w="2131" w:type="dxa"/>
            <w:tcBorders>
              <w:top w:val="single" w:color="000000" w:sz="8" w:space="0"/>
              <w:left w:val="single" w:color="auto" w:sz="4" w:space="0"/>
              <w:bottom w:val="single" w:color="000000" w:sz="4" w:space="0"/>
              <w:right w:val="single" w:color="000000" w:sz="4" w:space="0"/>
            </w:tcBorders>
            <w:shd w:val="clear" w:color="FFFFFF" w:fill="FFFFFF"/>
            <w:vAlign w:val="center"/>
          </w:tcPr>
          <w:p>
            <w:pPr>
              <w:spacing w:line="440" w:lineRule="exact"/>
              <w:jc w:val="center"/>
            </w:pPr>
            <w:r>
              <w:rPr>
                <w:rFonts w:hint="eastAsia"/>
              </w:rPr>
              <w:t>名  称</w:t>
            </w:r>
          </w:p>
        </w:tc>
        <w:tc>
          <w:tcPr>
            <w:tcW w:w="40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440" w:lineRule="exact"/>
              <w:jc w:val="center"/>
            </w:pPr>
            <w:r>
              <w:rPr>
                <w:rFonts w:hint="eastAsia"/>
              </w:rPr>
              <w:t>投标报价（元/度）</w:t>
            </w:r>
          </w:p>
        </w:tc>
        <w:tc>
          <w:tcPr>
            <w:tcW w:w="1822" w:type="dxa"/>
            <w:tcBorders>
              <w:top w:val="single" w:color="auto" w:sz="4" w:space="0"/>
              <w:left w:val="single" w:color="auto" w:sz="4" w:space="0"/>
              <w:bottom w:val="single" w:color="auto" w:sz="4" w:space="0"/>
              <w:right w:val="single" w:color="auto" w:sz="4" w:space="0"/>
            </w:tcBorders>
            <w:shd w:val="clear" w:color="FFFFFF" w:fill="FFFFFF"/>
            <w:vAlign w:val="center"/>
          </w:tcPr>
          <w:p>
            <w:pPr>
              <w:spacing w:line="440" w:lineRule="exact"/>
              <w:jc w:val="center"/>
            </w:pPr>
            <w:r>
              <w:rPr>
                <w:rFonts w:hint="eastAsia"/>
              </w:rPr>
              <w:t>备注</w:t>
            </w:r>
          </w:p>
        </w:tc>
      </w:tr>
      <w:tr>
        <w:tblPrEx>
          <w:tblCellMar>
            <w:top w:w="0" w:type="dxa"/>
            <w:left w:w="108" w:type="dxa"/>
            <w:bottom w:w="0" w:type="dxa"/>
            <w:right w:w="108" w:type="dxa"/>
          </w:tblCellMar>
        </w:tblPrEx>
        <w:trPr>
          <w:trHeight w:val="750" w:hRule="atLeast"/>
          <w:jc w:val="center"/>
        </w:trPr>
        <w:tc>
          <w:tcPr>
            <w:tcW w:w="834" w:type="dxa"/>
            <w:tcBorders>
              <w:top w:val="nil"/>
              <w:left w:val="single" w:color="000000" w:sz="8" w:space="0"/>
              <w:bottom w:val="single" w:color="000000" w:sz="4" w:space="0"/>
              <w:right w:val="single" w:color="auto" w:sz="4" w:space="0"/>
            </w:tcBorders>
            <w:shd w:val="clear" w:color="FFFFFF" w:fill="FFFFFF"/>
            <w:vAlign w:val="center"/>
          </w:tcPr>
          <w:p>
            <w:pPr>
              <w:spacing w:line="440" w:lineRule="exact"/>
              <w:jc w:val="center"/>
            </w:pPr>
            <w:r>
              <w:rPr>
                <w:rFonts w:hint="eastAsia"/>
              </w:rPr>
              <w:t>1</w:t>
            </w:r>
          </w:p>
        </w:tc>
        <w:tc>
          <w:tcPr>
            <w:tcW w:w="2131" w:type="dxa"/>
            <w:tcBorders>
              <w:top w:val="nil"/>
              <w:left w:val="single" w:color="auto" w:sz="4" w:space="0"/>
              <w:bottom w:val="single" w:color="000000" w:sz="4" w:space="0"/>
              <w:right w:val="single" w:color="000000" w:sz="4" w:space="0"/>
            </w:tcBorders>
            <w:shd w:val="clear" w:color="FFFFFF" w:fill="FFFFFF"/>
            <w:vAlign w:val="center"/>
          </w:tcPr>
          <w:p>
            <w:pPr>
              <w:spacing w:line="440" w:lineRule="exact"/>
              <w:jc w:val="center"/>
            </w:pPr>
            <w:r>
              <w:rPr>
                <w:rFonts w:hint="eastAsia"/>
              </w:rPr>
              <w:t>服务费</w:t>
            </w:r>
          </w:p>
        </w:tc>
        <w:tc>
          <w:tcPr>
            <w:tcW w:w="4005" w:type="dxa"/>
            <w:tcBorders>
              <w:top w:val="single" w:color="000000" w:sz="4" w:space="0"/>
              <w:left w:val="nil"/>
              <w:bottom w:val="single" w:color="000000" w:sz="4" w:space="0"/>
              <w:right w:val="single" w:color="000000" w:sz="4" w:space="0"/>
            </w:tcBorders>
            <w:shd w:val="clear" w:color="FFFFFF" w:fill="FFFFFF"/>
            <w:vAlign w:val="center"/>
          </w:tcPr>
          <w:p>
            <w:pPr>
              <w:spacing w:line="440" w:lineRule="exact"/>
              <w:jc w:val="center"/>
            </w:pPr>
            <w:r>
              <w:rPr>
                <w:rFonts w:hint="eastAsia"/>
              </w:rPr>
              <w:t>小写：¥</w:t>
            </w:r>
            <w:r>
              <w:rPr>
                <w:rFonts w:hint="eastAsia"/>
                <w:u w:val="single"/>
              </w:rPr>
              <w:t xml:space="preserve">               </w:t>
            </w:r>
            <w:r>
              <w:rPr>
                <w:rFonts w:hint="eastAsia"/>
              </w:rPr>
              <w:t>元/</w:t>
            </w:r>
            <w:r>
              <w:rPr>
                <w:rFonts w:hint="eastAsia" w:ascii="宋体" w:hAnsi="宋体"/>
                <w:sz w:val="22"/>
                <w:szCs w:val="22"/>
                <w:lang w:val="en-US" w:eastAsia="zh-CN"/>
              </w:rPr>
              <w:t>KW•H（度）</w:t>
            </w:r>
          </w:p>
          <w:p>
            <w:pPr>
              <w:spacing w:line="440" w:lineRule="exact"/>
              <w:jc w:val="center"/>
            </w:pPr>
            <w:r>
              <w:rPr>
                <w:rFonts w:hint="eastAsia"/>
              </w:rPr>
              <w:t>大写：人民币</w:t>
            </w:r>
            <w:r>
              <w:rPr>
                <w:rFonts w:hint="eastAsia"/>
                <w:u w:val="single"/>
              </w:rPr>
              <w:t xml:space="preserve">          </w:t>
            </w:r>
            <w:r>
              <w:rPr>
                <w:rFonts w:hint="eastAsia"/>
              </w:rPr>
              <w:t>元/</w:t>
            </w:r>
            <w:r>
              <w:rPr>
                <w:rFonts w:hint="eastAsia" w:ascii="宋体" w:hAnsi="宋体"/>
                <w:sz w:val="22"/>
                <w:szCs w:val="22"/>
                <w:lang w:val="en-US" w:eastAsia="zh-CN"/>
              </w:rPr>
              <w:t>KW•H（度）</w:t>
            </w:r>
          </w:p>
        </w:tc>
        <w:tc>
          <w:tcPr>
            <w:tcW w:w="1822" w:type="dxa"/>
            <w:tcBorders>
              <w:top w:val="single" w:color="auto" w:sz="4" w:space="0"/>
              <w:left w:val="nil"/>
              <w:bottom w:val="single" w:color="000000" w:sz="4" w:space="0"/>
              <w:right w:val="single" w:color="000000" w:sz="4" w:space="0"/>
            </w:tcBorders>
            <w:shd w:val="clear" w:color="FFFFFF" w:fill="FFFFFF"/>
            <w:vAlign w:val="center"/>
          </w:tcPr>
          <w:p>
            <w:pPr>
              <w:spacing w:line="440" w:lineRule="exact"/>
              <w:jc w:val="center"/>
            </w:pPr>
          </w:p>
        </w:tc>
      </w:tr>
      <w:tr>
        <w:tblPrEx>
          <w:tblCellMar>
            <w:top w:w="0" w:type="dxa"/>
            <w:left w:w="108" w:type="dxa"/>
            <w:bottom w:w="0" w:type="dxa"/>
            <w:right w:w="108" w:type="dxa"/>
          </w:tblCellMar>
        </w:tblPrEx>
        <w:trPr>
          <w:trHeight w:val="705" w:hRule="atLeast"/>
          <w:jc w:val="center"/>
        </w:trPr>
        <w:tc>
          <w:tcPr>
            <w:tcW w:w="8792" w:type="dxa"/>
            <w:gridSpan w:val="4"/>
            <w:tcBorders>
              <w:top w:val="nil"/>
              <w:left w:val="single" w:color="000000" w:sz="8" w:space="0"/>
              <w:bottom w:val="single" w:color="000000" w:sz="4" w:space="0"/>
              <w:right w:val="single" w:color="000000" w:sz="4" w:space="0"/>
            </w:tcBorders>
            <w:shd w:val="clear" w:color="FFFFFF" w:fill="FFFFFF"/>
            <w:vAlign w:val="center"/>
          </w:tcPr>
          <w:p>
            <w:pPr>
              <w:spacing w:line="440" w:lineRule="exact"/>
              <w:jc w:val="left"/>
              <w:rPr>
                <w:rFonts w:ascii="宋体" w:hAnsi="宋体"/>
                <w:sz w:val="24"/>
              </w:rPr>
            </w:pPr>
            <w:r>
              <w:rPr>
                <w:rFonts w:hint="eastAsia" w:ascii="宋体" w:hAnsi="宋体"/>
                <w:sz w:val="24"/>
              </w:rPr>
              <w:t>其它说明事项：　</w:t>
            </w:r>
          </w:p>
        </w:tc>
      </w:tr>
    </w:tbl>
    <w:p>
      <w:pPr>
        <w:rPr>
          <w:rFonts w:cs="仿宋_GB2312"/>
          <w:b/>
        </w:rPr>
      </w:pPr>
    </w:p>
    <w:p>
      <w:pPr>
        <w:pStyle w:val="28"/>
        <w:tabs>
          <w:tab w:val="left" w:pos="970"/>
        </w:tabs>
        <w:jc w:val="left"/>
        <w:rPr>
          <w:b/>
          <w:bCs/>
          <w:color w:val="000000"/>
          <w:lang w:val="en-US" w:eastAsia="zh-CN"/>
        </w:rPr>
      </w:pPr>
      <w:r>
        <w:rPr>
          <w:rFonts w:hint="eastAsia"/>
          <w:b/>
          <w:bCs/>
          <w:color w:val="000000"/>
          <w:lang w:val="en-US" w:eastAsia="zh-CN"/>
        </w:rPr>
        <w:t>注：</w:t>
      </w:r>
    </w:p>
    <w:p>
      <w:pPr>
        <w:pStyle w:val="28"/>
        <w:tabs>
          <w:tab w:val="left" w:pos="974"/>
        </w:tabs>
        <w:ind w:left="730"/>
        <w:jc w:val="left"/>
      </w:pPr>
      <w:r>
        <w:rPr>
          <w:rFonts w:hint="eastAsia"/>
          <w:color w:val="000000"/>
          <w:lang w:val="en-US" w:eastAsia="zh-CN"/>
        </w:rPr>
        <w:t>1.</w:t>
      </w:r>
      <w:r>
        <w:rPr>
          <w:color w:val="000000"/>
        </w:rPr>
        <w:t>响应投标人根据自身情况报价，所报价格不得超出</w:t>
      </w:r>
      <w:r>
        <w:rPr>
          <w:color w:val="000000"/>
          <w:lang w:val="zh-CN" w:eastAsia="zh-CN" w:bidi="zh-CN"/>
        </w:rPr>
        <w:t>“最</w:t>
      </w:r>
      <w:r>
        <w:rPr>
          <w:color w:val="000000"/>
        </w:rPr>
        <w:t>高控制价”。</w:t>
      </w:r>
    </w:p>
    <w:p>
      <w:pPr>
        <w:pStyle w:val="28"/>
        <w:tabs>
          <w:tab w:val="left" w:pos="974"/>
        </w:tabs>
        <w:ind w:left="730"/>
        <w:jc w:val="left"/>
        <w:rPr>
          <w:color w:val="000000"/>
        </w:rPr>
      </w:pPr>
      <w:r>
        <w:rPr>
          <w:rFonts w:hint="eastAsia"/>
          <w:color w:val="000000"/>
          <w:lang w:val="en-US" w:eastAsia="zh-CN"/>
        </w:rPr>
        <w:t>2.</w:t>
      </w:r>
      <w:r>
        <w:rPr>
          <w:color w:val="000000"/>
        </w:rPr>
        <w:t>响应投标人必须按照</w:t>
      </w:r>
      <w:r>
        <w:rPr>
          <w:rFonts w:hint="eastAsia"/>
          <w:color w:val="000000"/>
          <w:lang w:val="en-US" w:eastAsia="zh-CN"/>
        </w:rPr>
        <w:t>江苏师范大学科文学院</w:t>
      </w:r>
      <w:r>
        <w:rPr>
          <w:color w:val="000000"/>
        </w:rPr>
        <w:t>招标</w:t>
      </w:r>
      <w:r>
        <w:rPr>
          <w:rFonts w:hint="eastAsia"/>
        </w:rPr>
        <w:t>新能源汽车充电桩建设及运营服务项目</w:t>
      </w:r>
      <w:r>
        <w:rPr>
          <w:color w:val="000000"/>
        </w:rPr>
        <w:t>报价。</w:t>
      </w:r>
    </w:p>
    <w:p>
      <w:pPr>
        <w:pStyle w:val="28"/>
        <w:tabs>
          <w:tab w:val="left" w:pos="974"/>
        </w:tabs>
        <w:ind w:left="730"/>
        <w:jc w:val="left"/>
        <w:rPr>
          <w:b/>
          <w:bCs/>
        </w:rPr>
      </w:pPr>
      <w:r>
        <w:rPr>
          <w:rFonts w:hint="eastAsia"/>
          <w:color w:val="000000"/>
          <w:lang w:val="en-US" w:eastAsia="zh-CN"/>
        </w:rPr>
        <w:t>3.</w:t>
      </w:r>
      <w:r>
        <w:rPr>
          <w:b/>
          <w:bCs/>
          <w:color w:val="000000"/>
        </w:rPr>
        <w:t>报价包括：</w:t>
      </w:r>
      <w:r>
        <w:rPr>
          <w:rFonts w:hint="eastAsia"/>
          <w:b/>
          <w:bCs/>
          <w:color w:val="000000"/>
          <w:lang w:val="en-US" w:eastAsia="zh-CN"/>
        </w:rPr>
        <w:t>项目建设、项目运营服务、</w:t>
      </w:r>
      <w:r>
        <w:rPr>
          <w:rFonts w:hint="eastAsia"/>
          <w:b/>
          <w:bCs/>
          <w:color w:val="000000"/>
        </w:rPr>
        <w:t>设备运输、装卸、安装、调试、配合费、利润、税金和承担的风险等一切可能产生的费用。</w:t>
      </w:r>
    </w:p>
    <w:p>
      <w:pPr>
        <w:ind w:firstLine="480"/>
        <w:rPr>
          <w:rFonts w:ascii="宋体" w:hAnsi="宋体"/>
          <w:sz w:val="24"/>
        </w:rPr>
      </w:pPr>
    </w:p>
    <w:p>
      <w:pPr>
        <w:spacing w:line="340" w:lineRule="exact"/>
        <w:ind w:firstLine="480" w:firstLineChars="200"/>
        <w:rPr>
          <w:rFonts w:ascii="宋体" w:hAnsi="宋体" w:cs="华文楷体"/>
          <w:sz w:val="24"/>
        </w:rPr>
      </w:pPr>
    </w:p>
    <w:p>
      <w:pPr>
        <w:spacing w:line="340" w:lineRule="exact"/>
        <w:ind w:firstLine="480" w:firstLineChars="200"/>
        <w:rPr>
          <w:rFonts w:ascii="宋体" w:hAnsi="宋体" w:cs="华文楷体"/>
          <w:sz w:val="24"/>
          <w:u w:val="single"/>
        </w:rPr>
      </w:pPr>
      <w:r>
        <w:rPr>
          <w:rFonts w:hint="eastAsia" w:ascii="宋体" w:hAnsi="宋体" w:cs="华文楷体"/>
          <w:sz w:val="24"/>
        </w:rPr>
        <w:t>投标人：</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u w:val="single"/>
        </w:rPr>
        <w:t xml:space="preserve">                  （公章）</w:t>
      </w:r>
    </w:p>
    <w:p>
      <w:pPr>
        <w:spacing w:line="340" w:lineRule="exact"/>
        <w:ind w:firstLine="480" w:firstLineChars="200"/>
        <w:rPr>
          <w:rFonts w:ascii="宋体" w:hAnsi="宋体" w:cs="华文楷体"/>
          <w:sz w:val="24"/>
          <w:u w:val="single"/>
        </w:rPr>
      </w:pPr>
    </w:p>
    <w:p>
      <w:pPr>
        <w:spacing w:line="340" w:lineRule="exact"/>
        <w:ind w:firstLine="480" w:firstLineChars="200"/>
        <w:rPr>
          <w:rFonts w:ascii="宋体" w:hAnsi="宋体" w:cs="华文楷体"/>
          <w:sz w:val="24"/>
        </w:rPr>
      </w:pPr>
      <w:r>
        <w:rPr>
          <w:rFonts w:hint="eastAsia" w:ascii="宋体" w:hAnsi="宋体" w:cs="华文楷体"/>
          <w:sz w:val="24"/>
        </w:rPr>
        <w:t>投标人代表签字：</w:t>
      </w:r>
    </w:p>
    <w:p>
      <w:pPr>
        <w:spacing w:line="340" w:lineRule="exact"/>
        <w:ind w:firstLine="4560" w:firstLineChars="1900"/>
        <w:rPr>
          <w:rFonts w:ascii="宋体" w:hAnsi="宋体" w:cs="华文楷体"/>
          <w:sz w:val="24"/>
        </w:rPr>
      </w:pPr>
    </w:p>
    <w:p>
      <w:pPr>
        <w:spacing w:line="340" w:lineRule="exact"/>
        <w:ind w:firstLine="4560" w:firstLineChars="1900"/>
        <w:rPr>
          <w:rFonts w:ascii="宋体" w:hAnsi="宋体" w:cs="华文楷体"/>
        </w:rPr>
      </w:pPr>
      <w:r>
        <w:rPr>
          <w:rFonts w:hint="eastAsia" w:ascii="宋体" w:hAnsi="宋体" w:cs="华文楷体"/>
          <w:sz w:val="24"/>
        </w:rPr>
        <w:t>日期</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 xml:space="preserve">    年    月    日</w:t>
      </w: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pStyle w:val="2"/>
        <w:rPr>
          <w:rFonts w:ascii="宋体" w:hAnsi="宋体"/>
          <w:kern w:val="0"/>
          <w:sz w:val="24"/>
        </w:rPr>
      </w:pPr>
    </w:p>
    <w:p>
      <w:pPr>
        <w:rPr>
          <w:rFonts w:ascii="宋体" w:hAnsi="宋体"/>
          <w:b/>
          <w:bCs/>
          <w:kern w:val="0"/>
          <w:sz w:val="24"/>
        </w:rPr>
      </w:pPr>
    </w:p>
    <w:p>
      <w:pPr>
        <w:pStyle w:val="2"/>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r>
        <w:rPr>
          <w:rFonts w:hint="eastAsia" w:ascii="宋体" w:hAnsi="宋体"/>
          <w:b/>
          <w:bCs/>
          <w:kern w:val="0"/>
          <w:sz w:val="24"/>
        </w:rPr>
        <w:t>（三)法定代表人授权委托书</w:t>
      </w:r>
      <w:bookmarkEnd w:id="4"/>
      <w:bookmarkEnd w:id="5"/>
      <w:bookmarkEnd w:id="6"/>
      <w:bookmarkEnd w:id="7"/>
      <w:bookmarkEnd w:id="8"/>
      <w:bookmarkEnd w:id="9"/>
    </w:p>
    <w:p>
      <w:pPr>
        <w:rPr>
          <w:rFonts w:ascii="宋体" w:hAnsi="宋体"/>
          <w:sz w:val="24"/>
        </w:rPr>
      </w:pPr>
      <w:r>
        <w:rPr>
          <w:rFonts w:hint="eastAsia" w:ascii="宋体" w:hAnsi="宋体"/>
          <w:sz w:val="24"/>
          <w:u w:val="single"/>
        </w:rPr>
        <w:t>江苏师范大学科文学院</w:t>
      </w:r>
      <w:r>
        <w:rPr>
          <w:rFonts w:hint="eastAsia" w:ascii="宋体" w:hAnsi="宋体"/>
          <w:sz w:val="24"/>
        </w:rPr>
        <w:t>：</w:t>
      </w:r>
    </w:p>
    <w:p>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pPr>
        <w:ind w:firstLine="480" w:firstLineChars="200"/>
        <w:rPr>
          <w:rFonts w:ascii="宋体" w:hAnsi="宋体"/>
          <w:sz w:val="24"/>
        </w:rPr>
      </w:pPr>
      <w:r>
        <w:rPr>
          <w:rFonts w:hint="eastAsia" w:ascii="宋体" w:hAnsi="宋体"/>
          <w:sz w:val="24"/>
        </w:rPr>
        <w:t>本授权书于    年  月  日签字生效，特此声明。</w:t>
      </w:r>
    </w:p>
    <w:p>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pPr>
        <w:ind w:firstLine="480" w:firstLineChars="200"/>
        <w:rPr>
          <w:rFonts w:ascii="宋体" w:hAnsi="宋体"/>
          <w:sz w:val="24"/>
        </w:rPr>
      </w:pPr>
    </w:p>
    <w:p>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60288;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v:textbox>
              </v:shape>
            </w:pict>
          </mc:Fallback>
        </mc:AlternateContent>
      </w:r>
    </w:p>
    <w:p>
      <w:pPr>
        <w:ind w:firstLine="6240" w:firstLineChars="2600"/>
        <w:rPr>
          <w:rFonts w:ascii="宋体" w:hAnsi="宋体"/>
          <w:sz w:val="24"/>
        </w:rPr>
      </w:pPr>
    </w:p>
    <w:p>
      <w:pPr>
        <w:ind w:firstLine="6240" w:firstLineChars="2600"/>
        <w:rPr>
          <w:rFonts w:ascii="宋体" w:hAnsi="宋体"/>
          <w:sz w:val="24"/>
        </w:rPr>
      </w:pPr>
    </w:p>
    <w:p>
      <w:pPr>
        <w:ind w:firstLine="6240" w:firstLineChars="2600"/>
        <w:rPr>
          <w:rFonts w:ascii="宋体" w:hAnsi="宋体"/>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ascii="宋体" w:hAnsi="宋体"/>
          <w:b/>
          <w:sz w:val="24"/>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1312;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v:textbox>
              </v:shape>
            </w:pict>
          </mc:Fallback>
        </mc:AlternateConten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bookmarkStart w:id="10" w:name="_Toc86202638"/>
      <w:r>
        <w:rPr>
          <w:rFonts w:hint="eastAsia" w:ascii="宋体" w:hAnsi="宋体"/>
          <w:b/>
          <w:sz w:val="24"/>
        </w:rPr>
        <w:t>（四）承诺书</w:t>
      </w:r>
    </w:p>
    <w:p>
      <w:pPr>
        <w:jc w:val="left"/>
        <w:rPr>
          <w:rFonts w:ascii="宋体" w:hAnsi="宋体"/>
          <w:sz w:val="24"/>
        </w:rPr>
      </w:pPr>
      <w:r>
        <w:rPr>
          <w:rFonts w:hint="eastAsia" w:ascii="宋体" w:hAnsi="宋体"/>
          <w:sz w:val="24"/>
        </w:rPr>
        <w:t>致江苏师范大学科文学院：</w:t>
      </w:r>
    </w:p>
    <w:p>
      <w:pPr>
        <w:jc w:val="left"/>
        <w:rPr>
          <w:rFonts w:ascii="宋体" w:hAnsi="宋体"/>
          <w:sz w:val="24"/>
        </w:rPr>
      </w:pPr>
    </w:p>
    <w:p>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pPr>
        <w:ind w:firstLine="480" w:firstLineChars="200"/>
        <w:jc w:val="left"/>
        <w:rPr>
          <w:rFonts w:ascii="宋体" w:hAnsi="宋体"/>
          <w:sz w:val="24"/>
        </w:rPr>
      </w:pPr>
      <w:r>
        <w:rPr>
          <w:rFonts w:hint="eastAsia" w:ascii="宋体" w:hAnsi="宋体"/>
          <w:sz w:val="24"/>
        </w:rPr>
        <w:t xml:space="preserve">我单位兹宣布同意如下: </w:t>
      </w:r>
    </w:p>
    <w:p>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r>
        <w:rPr>
          <w:rFonts w:hint="eastAsia" w:ascii="宋体" w:hAnsi="宋体"/>
          <w:b/>
          <w:sz w:val="24"/>
        </w:rPr>
        <w:t>（五）无重大违法记录的书面声明</w:t>
      </w:r>
    </w:p>
    <w:p>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rPr>
          <w:rFonts w:ascii="宋体" w:hAnsi="宋体"/>
          <w:b/>
          <w:bCs/>
          <w:kern w:val="0"/>
          <w:sz w:val="24"/>
        </w:rPr>
      </w:pPr>
      <w:r>
        <w:rPr>
          <w:rFonts w:hint="eastAsia" w:ascii="宋体" w:hAnsi="宋体"/>
          <w:b/>
          <w:sz w:val="24"/>
        </w:rPr>
        <w:t>（六）</w:t>
      </w:r>
      <w:r>
        <w:rPr>
          <w:rFonts w:hint="eastAsia" w:ascii="宋体" w:hAnsi="宋体"/>
          <w:b/>
          <w:bCs/>
          <w:kern w:val="0"/>
          <w:sz w:val="24"/>
        </w:rPr>
        <w:t>商务与技术条款偏离表</w:t>
      </w:r>
    </w:p>
    <w:tbl>
      <w:tblPr>
        <w:tblStyle w:val="13"/>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pPr>
        <w:pStyle w:val="12"/>
        <w:spacing w:after="0"/>
        <w:ind w:firstLine="0" w:firstLineChars="0"/>
        <w:rPr>
          <w:rFonts w:ascii="宋体" w:hAnsi="宋体" w:eastAsia="宋体"/>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ascii="宋体" w:hAnsi="宋体" w:eastAsia="宋体" w:cs="宋体"/>
          <w:color w:val="000000"/>
          <w:spacing w:val="14"/>
          <w:kern w:val="0"/>
          <w:sz w:val="24"/>
          <w:szCs w:val="24"/>
          <w:u w:val="single"/>
        </w:rPr>
        <w:t xml:space="preserve">（单位全称） （盖章）   </w:t>
      </w:r>
      <w:r>
        <w:rPr>
          <w:rFonts w:ascii="宋体" w:hAnsi="宋体" w:eastAsia="宋体" w:cs="宋体"/>
          <w:color w:val="000000"/>
          <w:sz w:val="24"/>
          <w:szCs w:val="24"/>
        </w:rPr>
        <w:t xml:space="preserve"> </w:t>
      </w:r>
    </w:p>
    <w:p>
      <w:pPr>
        <w:pStyle w:val="12"/>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pPr>
        <w:rPr>
          <w:rFonts w:ascii="宋体" w:hAnsi="宋体"/>
          <w:b/>
          <w:sz w:val="24"/>
        </w:rPr>
      </w:pPr>
      <w:r>
        <w:rPr>
          <w:rFonts w:hint="eastAsia" w:ascii="宋体" w:hAnsi="宋体"/>
          <w:sz w:val="24"/>
        </w:rPr>
        <w:t>日期：</w:t>
      </w:r>
      <w:r>
        <w:rPr>
          <w:rFonts w:hint="eastAsia" w:ascii="宋体" w:hAnsi="宋体"/>
          <w:sz w:val="24"/>
          <w:u w:val="single"/>
        </w:rPr>
        <w:t xml:space="preserve">          </w:t>
      </w:r>
    </w:p>
    <w:bookmarkEnd w:id="10"/>
    <w:p>
      <w:pPr>
        <w:rPr>
          <w:b/>
          <w:sz w:val="28"/>
          <w:szCs w:val="28"/>
        </w:rPr>
      </w:pPr>
      <w:bookmarkStart w:id="11" w:name="_Toc310966108"/>
      <w:bookmarkStart w:id="12" w:name="_Toc310965989"/>
      <w:bookmarkStart w:id="13" w:name="_Toc86202650"/>
    </w:p>
    <w:p>
      <w:pPr>
        <w:rPr>
          <w:rFonts w:ascii="宋体" w:hAnsi="宋体"/>
          <w:b/>
          <w:sz w:val="24"/>
        </w:rPr>
      </w:pPr>
      <w:r>
        <w:rPr>
          <w:rFonts w:hint="eastAsia" w:ascii="宋体" w:hAnsi="宋体"/>
          <w:b/>
          <w:sz w:val="24"/>
        </w:rPr>
        <w:t>（七）投标人近三年来完成项目业绩基本情况表</w:t>
      </w:r>
      <w:bookmarkEnd w:id="11"/>
      <w:bookmarkEnd w:id="12"/>
    </w:p>
    <w:tbl>
      <w:tblPr>
        <w:tblStyle w:val="13"/>
        <w:tblW w:w="10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189"/>
        <w:gridCol w:w="2115"/>
        <w:gridCol w:w="1917"/>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5" w:type="dxa"/>
            <w:vAlign w:val="center"/>
          </w:tcPr>
          <w:p>
            <w:pPr>
              <w:spacing w:line="400" w:lineRule="exact"/>
              <w:jc w:val="center"/>
              <w:rPr>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3189" w:type="dxa"/>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单位名称</w:t>
            </w:r>
          </w:p>
        </w:tc>
        <w:tc>
          <w:tcPr>
            <w:tcW w:w="2115" w:type="dxa"/>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联系人及联系方式</w:t>
            </w:r>
          </w:p>
        </w:tc>
        <w:tc>
          <w:tcPr>
            <w:tcW w:w="1917"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合同总价</w:t>
            </w:r>
          </w:p>
        </w:tc>
        <w:tc>
          <w:tcPr>
            <w:tcW w:w="1232"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项目起止时间</w:t>
            </w:r>
          </w:p>
        </w:tc>
        <w:tc>
          <w:tcPr>
            <w:tcW w:w="1232"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189"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bl>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注：投标时需提供合同原件备查。                                                </w:t>
      </w:r>
    </w:p>
    <w:p>
      <w:pPr>
        <w:spacing w:line="360" w:lineRule="auto"/>
        <w:ind w:firstLine="420" w:firstLineChars="200"/>
        <w:rPr>
          <w:rFonts w:ascii="宋体" w:hAnsi="宋体"/>
          <w:szCs w:val="21"/>
        </w:rPr>
      </w:pPr>
      <w:r>
        <w:rPr>
          <w:rFonts w:hint="eastAsia"/>
          <w:color w:val="000000" w:themeColor="text1"/>
          <w14:textFill>
            <w14:solidFill>
              <w14:schemeClr w14:val="tx1"/>
            </w14:solidFill>
          </w14:textFill>
        </w:rPr>
        <w:t xml:space="preserve">                                                         </w:t>
      </w: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pPr>
    </w:p>
    <w:p>
      <w:pPr>
        <w:tabs>
          <w:tab w:val="left" w:pos="2685"/>
        </w:tabs>
        <w:spacing w:line="400" w:lineRule="exact"/>
        <w:ind w:firstLine="118" w:firstLineChars="49"/>
        <w:rPr>
          <w:rFonts w:ascii="宋体" w:hAnsi="宋体"/>
          <w:b/>
          <w:sz w:val="24"/>
        </w:rPr>
      </w:pPr>
      <w:r>
        <w:rPr>
          <w:rFonts w:hint="eastAsia" w:ascii="宋体" w:hAnsi="宋体"/>
          <w:b/>
          <w:sz w:val="24"/>
        </w:rPr>
        <w:t>（八）设施设备配套方案</w:t>
      </w:r>
    </w:p>
    <w:p>
      <w:pPr>
        <w:pStyle w:val="19"/>
        <w:numPr>
          <w:ilvl w:val="0"/>
          <w:numId w:val="0"/>
        </w:numPr>
        <w:adjustRightInd/>
        <w:ind w:firstLine="480" w:firstLineChars="200"/>
        <w:jc w:val="left"/>
        <w:rPr>
          <w:color w:val="auto"/>
          <w:kern w:val="2"/>
          <w:sz w:val="24"/>
          <w:szCs w:val="24"/>
        </w:rPr>
      </w:pPr>
      <w:r>
        <w:rPr>
          <w:rFonts w:hint="eastAsia"/>
          <w:kern w:val="2"/>
          <w:sz w:val="24"/>
          <w:szCs w:val="24"/>
        </w:rPr>
        <w:t>（包括</w:t>
      </w:r>
      <w:r>
        <w:rPr>
          <w:rFonts w:hint="eastAsia"/>
          <w:color w:val="auto"/>
          <w:kern w:val="2"/>
          <w:sz w:val="24"/>
          <w:szCs w:val="24"/>
        </w:rPr>
        <w:t>充电桩、计量模块、收费模块、APP、电缆等设施设备清单、材质、规格型号、数量、金额、能耗功率、使用年限、安装要求、入场水电要求、技术参数、外观等；）</w:t>
      </w:r>
    </w:p>
    <w:p>
      <w:pPr>
        <w:pStyle w:val="19"/>
        <w:numPr>
          <w:ilvl w:val="0"/>
          <w:numId w:val="0"/>
        </w:numPr>
        <w:adjustRightInd/>
        <w:ind w:firstLine="480" w:firstLineChars="200"/>
        <w:jc w:val="left"/>
        <w:rPr>
          <w:color w:val="auto"/>
          <w:kern w:val="2"/>
          <w:sz w:val="24"/>
          <w:szCs w:val="24"/>
        </w:rPr>
      </w:pPr>
    </w:p>
    <w:tbl>
      <w:tblPr>
        <w:tblStyle w:val="13"/>
        <w:tblW w:w="9867" w:type="dxa"/>
        <w:tblInd w:w="93" w:type="dxa"/>
        <w:tblLayout w:type="autofit"/>
        <w:tblCellMar>
          <w:top w:w="0" w:type="dxa"/>
          <w:left w:w="108" w:type="dxa"/>
          <w:bottom w:w="0" w:type="dxa"/>
          <w:right w:w="108" w:type="dxa"/>
        </w:tblCellMar>
      </w:tblPr>
      <w:tblGrid>
        <w:gridCol w:w="486"/>
        <w:gridCol w:w="1500"/>
        <w:gridCol w:w="1185"/>
        <w:gridCol w:w="1905"/>
        <w:gridCol w:w="1050"/>
        <w:gridCol w:w="900"/>
        <w:gridCol w:w="900"/>
        <w:gridCol w:w="1229"/>
        <w:gridCol w:w="712"/>
      </w:tblGrid>
      <w:tr>
        <w:tblPrEx>
          <w:tblCellMar>
            <w:top w:w="0" w:type="dxa"/>
            <w:left w:w="108" w:type="dxa"/>
            <w:bottom w:w="0" w:type="dxa"/>
            <w:right w:w="108" w:type="dxa"/>
          </w:tblCellMar>
        </w:tblPrEx>
        <w:trPr>
          <w:trHeight w:val="405" w:hRule="atLeast"/>
        </w:trPr>
        <w:tc>
          <w:tcPr>
            <w:tcW w:w="9867" w:type="dxa"/>
            <w:gridSpan w:val="9"/>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color w:val="auto"/>
                <w:sz w:val="32"/>
                <w:szCs w:val="32"/>
              </w:rPr>
            </w:pPr>
            <w:r>
              <w:rPr>
                <w:rFonts w:hint="eastAsia" w:ascii="宋体" w:hAnsi="宋体" w:cs="宋体"/>
                <w:color w:val="auto"/>
                <w:kern w:val="0"/>
                <w:sz w:val="32"/>
                <w:szCs w:val="32"/>
                <w:lang w:bidi="ar"/>
              </w:rPr>
              <w:t>设施设备清单（样表）</w:t>
            </w:r>
          </w:p>
        </w:tc>
      </w:tr>
      <w:tr>
        <w:tblPrEx>
          <w:tblCellMar>
            <w:top w:w="0" w:type="dxa"/>
            <w:left w:w="108" w:type="dxa"/>
            <w:bottom w:w="0" w:type="dxa"/>
            <w:right w:w="108" w:type="dxa"/>
          </w:tblCellMar>
        </w:tblPrEx>
        <w:trPr>
          <w:trHeight w:val="288" w:hRule="atLeast"/>
        </w:trPr>
        <w:tc>
          <w:tcPr>
            <w:tcW w:w="98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Cs w:val="21"/>
                <w:lang w:bidi="ar"/>
              </w:rPr>
              <w:t>项目名称：                            项目编号：</w:t>
            </w:r>
          </w:p>
        </w:tc>
      </w:tr>
      <w:tr>
        <w:tblPrEx>
          <w:tblCellMar>
            <w:top w:w="0" w:type="dxa"/>
            <w:left w:w="108" w:type="dxa"/>
            <w:bottom w:w="0" w:type="dxa"/>
            <w:right w:w="108" w:type="dxa"/>
          </w:tblCellMar>
        </w:tblPrEx>
        <w:trPr>
          <w:trHeight w:val="450" w:hRule="atLeast"/>
        </w:trPr>
        <w:tc>
          <w:tcPr>
            <w:tcW w:w="48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设备名称</w:t>
            </w: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品牌</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规格型号及主要技术参数</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位号/所在部位</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是否特种设备</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数量</w:t>
            </w:r>
          </w:p>
        </w:tc>
        <w:tc>
          <w:tcPr>
            <w:tcW w:w="12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设备价值（元）</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备注</w:t>
            </w: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6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9"/>
        <w:numPr>
          <w:ilvl w:val="0"/>
          <w:numId w:val="0"/>
        </w:numPr>
        <w:adjustRightInd/>
        <w:ind w:firstLine="480" w:firstLineChars="200"/>
        <w:jc w:val="left"/>
        <w:rPr>
          <w:kern w:val="2"/>
          <w:sz w:val="24"/>
          <w:szCs w:val="24"/>
        </w:rPr>
      </w:pPr>
    </w:p>
    <w:p>
      <w:pPr>
        <w:pStyle w:val="19"/>
        <w:numPr>
          <w:ilvl w:val="0"/>
          <w:numId w:val="0"/>
        </w:numPr>
        <w:adjustRightInd/>
        <w:ind w:firstLine="480" w:firstLineChars="200"/>
        <w:jc w:val="left"/>
        <w:rPr>
          <w:kern w:val="2"/>
          <w:sz w:val="24"/>
          <w:szCs w:val="24"/>
        </w:rPr>
      </w:pPr>
    </w:p>
    <w:p>
      <w:pPr>
        <w:pStyle w:val="19"/>
        <w:numPr>
          <w:ilvl w:val="0"/>
          <w:numId w:val="0"/>
        </w:numPr>
        <w:adjustRightInd/>
        <w:ind w:firstLine="480" w:firstLineChars="200"/>
        <w:jc w:val="left"/>
        <w:rPr>
          <w:kern w:val="2"/>
          <w:sz w:val="24"/>
          <w:szCs w:val="24"/>
        </w:rPr>
      </w:pPr>
    </w:p>
    <w:p>
      <w:pPr>
        <w:tabs>
          <w:tab w:val="left" w:pos="2685"/>
        </w:tabs>
        <w:spacing w:line="400" w:lineRule="exact"/>
        <w:ind w:firstLine="118" w:firstLineChars="49"/>
        <w:rPr>
          <w:rFonts w:ascii="宋体" w:hAnsi="宋体"/>
          <w:b/>
          <w:sz w:val="24"/>
        </w:rPr>
      </w:pPr>
      <w:r>
        <w:rPr>
          <w:rFonts w:hint="eastAsia" w:ascii="宋体" w:hAnsi="宋体"/>
          <w:b/>
          <w:sz w:val="24"/>
        </w:rPr>
        <w:t>（八）实施方案</w:t>
      </w:r>
    </w:p>
    <w:p>
      <w:pPr>
        <w:tabs>
          <w:tab w:val="left" w:pos="2685"/>
        </w:tabs>
        <w:spacing w:line="400" w:lineRule="exact"/>
        <w:ind w:firstLine="597" w:firstLineChars="249"/>
        <w:rPr>
          <w:rFonts w:ascii="宋体" w:hAnsi="宋体"/>
          <w:bCs/>
          <w:sz w:val="24"/>
        </w:rPr>
      </w:pPr>
      <w:r>
        <w:rPr>
          <w:rFonts w:hint="eastAsia" w:ascii="宋体" w:hAnsi="宋体"/>
          <w:bCs/>
          <w:sz w:val="24"/>
        </w:rPr>
        <w:t>（包</w:t>
      </w:r>
      <w:r>
        <w:rPr>
          <w:rFonts w:hint="eastAsia" w:ascii="宋体" w:hAnsi="宋体"/>
          <w:b w:val="0"/>
          <w:bCs/>
          <w:sz w:val="24"/>
        </w:rPr>
        <w:t>括项目运营模式与特色、</w:t>
      </w:r>
      <w:r>
        <w:rPr>
          <w:rFonts w:hint="eastAsia" w:ascii="宋体" w:hAnsi="宋体"/>
          <w:bCs/>
          <w:sz w:val="24"/>
        </w:rPr>
        <w:t>设备设施（系统）的供货与安装调试方案、项目质量与安全保障措施、售后维保服务与培训方案、项目负责人及人员队伍配置等；）</w:t>
      </w:r>
    </w:p>
    <w:p>
      <w:pPr>
        <w:tabs>
          <w:tab w:val="left" w:pos="2685"/>
        </w:tabs>
        <w:spacing w:line="400" w:lineRule="exact"/>
        <w:ind w:firstLine="118" w:firstLineChars="49"/>
        <w:rPr>
          <w:rFonts w:ascii="宋体" w:hAnsi="宋体"/>
          <w:b/>
          <w:sz w:val="24"/>
        </w:rPr>
        <w:sectPr>
          <w:pgSz w:w="11906" w:h="16838"/>
          <w:pgMar w:top="1383" w:right="1080" w:bottom="986" w:left="1080" w:header="851" w:footer="709" w:gutter="0"/>
          <w:cols w:space="720" w:num="1"/>
          <w:docGrid w:linePitch="312" w:charSpace="0"/>
        </w:sectPr>
      </w:pPr>
    </w:p>
    <w:p>
      <w:pPr>
        <w:pStyle w:val="12"/>
        <w:spacing w:after="0"/>
        <w:ind w:firstLine="0" w:firstLineChars="0"/>
        <w:rPr>
          <w:rFonts w:ascii="宋体" w:hAnsi="宋体" w:eastAsia="宋体"/>
          <w:b/>
          <w:sz w:val="24"/>
          <w:szCs w:val="24"/>
        </w:rPr>
      </w:pPr>
      <w:r>
        <w:rPr>
          <w:rFonts w:hint="eastAsia" w:ascii="宋体" w:hAnsi="宋体" w:eastAsia="宋体"/>
          <w:b/>
          <w:sz w:val="24"/>
          <w:szCs w:val="24"/>
        </w:rPr>
        <w:t>（九）资格审查符合性审查材料索引表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jc w:val="center"/>
              <w:rPr>
                <w:rFonts w:ascii="宋体" w:hAnsi="宋体" w:cs="楷体"/>
                <w:bCs/>
                <w:sz w:val="24"/>
              </w:rPr>
            </w:pPr>
            <w:r>
              <w:rPr>
                <w:rFonts w:hint="eastAsia" w:ascii="宋体" w:hAnsi="宋体" w:cs="楷体"/>
                <w:bCs/>
                <w:sz w:val="24"/>
              </w:rPr>
              <w:t>投标函</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jc w:val="center"/>
              <w:rPr>
                <w:rFonts w:ascii="宋体" w:hAnsi="宋体" w:cs="楷体"/>
                <w:bCs/>
                <w:sz w:val="24"/>
              </w:rPr>
            </w:pPr>
            <w:r>
              <w:rPr>
                <w:rFonts w:hint="eastAsia" w:ascii="宋体" w:hAnsi="宋体"/>
                <w:sz w:val="24"/>
              </w:rPr>
              <w:t>法定代表人的授权委托书</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3</w:t>
            </w:r>
          </w:p>
        </w:tc>
        <w:tc>
          <w:tcPr>
            <w:tcW w:w="4770" w:type="dxa"/>
            <w:vAlign w:val="center"/>
          </w:tcPr>
          <w:p>
            <w:pPr>
              <w:jc w:val="center"/>
              <w:rPr>
                <w:rFonts w:ascii="宋体" w:hAnsi="宋体" w:cs="楷体"/>
                <w:bCs/>
                <w:sz w:val="24"/>
              </w:rPr>
            </w:pPr>
            <w:r>
              <w:rPr>
                <w:rFonts w:hint="eastAsia" w:ascii="宋体" w:hAnsi="宋体" w:cs="楷体"/>
                <w:bCs/>
                <w:sz w:val="24"/>
              </w:rPr>
              <w:t>承诺书</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4</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5</w:t>
            </w:r>
          </w:p>
        </w:tc>
        <w:tc>
          <w:tcPr>
            <w:tcW w:w="4770" w:type="dxa"/>
            <w:vAlign w:val="center"/>
          </w:tcPr>
          <w:p>
            <w:pPr>
              <w:jc w:val="center"/>
              <w:rPr>
                <w:rFonts w:ascii="宋体" w:hAnsi="宋体" w:cs="楷体"/>
                <w:bCs/>
                <w:sz w:val="24"/>
              </w:rPr>
            </w:pPr>
            <w:r>
              <w:rPr>
                <w:rFonts w:hint="eastAsia" w:ascii="宋体" w:hAnsi="宋体"/>
                <w:sz w:val="24"/>
              </w:rPr>
              <w:t>营业执照</w:t>
            </w:r>
            <w:r>
              <w:rPr>
                <w:rFonts w:hint="eastAsia" w:ascii="宋体" w:hAnsi="宋体" w:cs="楷体"/>
                <w:bCs/>
                <w:color w:val="000000" w:themeColor="text1"/>
                <w:sz w:val="24"/>
                <w14:textFill>
                  <w14:solidFill>
                    <w14:schemeClr w14:val="tx1"/>
                  </w14:solidFill>
                </w14:textFill>
              </w:rPr>
              <w:t>复印件</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6</w:t>
            </w:r>
          </w:p>
        </w:tc>
        <w:tc>
          <w:tcPr>
            <w:tcW w:w="4770" w:type="dxa"/>
            <w:vAlign w:val="center"/>
          </w:tcPr>
          <w:p>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pPr>
              <w:jc w:val="center"/>
              <w:rPr>
                <w:rFonts w:ascii="宋体" w:hAnsi="宋体" w:cs="楷体"/>
                <w:bCs/>
                <w:sz w:val="24"/>
              </w:rPr>
            </w:pPr>
            <w:r>
              <w:rPr>
                <w:rFonts w:hint="eastAsia" w:ascii="宋体" w:hAnsi="宋体" w:cs="楷体"/>
                <w:bCs/>
                <w:sz w:val="24"/>
              </w:rPr>
              <w:t>7</w:t>
            </w:r>
          </w:p>
        </w:tc>
        <w:tc>
          <w:tcPr>
            <w:tcW w:w="4770" w:type="dxa"/>
            <w:vAlign w:val="center"/>
          </w:tcPr>
          <w:p>
            <w:pPr>
              <w:jc w:val="center"/>
              <w:rPr>
                <w:rFonts w:ascii="宋体" w:hAnsi="宋体" w:cs="楷体"/>
                <w:bCs/>
                <w:sz w:val="24"/>
              </w:rPr>
            </w:pPr>
            <w:r>
              <w:rPr>
                <w:rFonts w:hint="eastAsia" w:ascii="宋体" w:hAnsi="宋体" w:cs="楷体"/>
                <w:bCs/>
                <w:sz w:val="24"/>
              </w:rPr>
              <w:t>信用证书或信用查询截图</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08" w:type="dxa"/>
            <w:vAlign w:val="center"/>
          </w:tcPr>
          <w:p>
            <w:pPr>
              <w:jc w:val="center"/>
              <w:rPr>
                <w:rFonts w:ascii="宋体" w:hAnsi="宋体" w:cs="楷体"/>
                <w:bCs/>
                <w:sz w:val="24"/>
              </w:rPr>
            </w:pPr>
            <w:r>
              <w:rPr>
                <w:rFonts w:hint="eastAsia" w:ascii="宋体" w:hAnsi="宋体" w:cs="楷体"/>
                <w:bCs/>
                <w:sz w:val="24"/>
              </w:rPr>
              <w:t>8</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9</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10</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11</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bl>
    <w:p>
      <w:pPr>
        <w:pStyle w:val="12"/>
        <w:spacing w:after="0"/>
        <w:ind w:firstLine="0" w:firstLineChars="0"/>
        <w:rPr>
          <w:rFonts w:ascii="宋体" w:hAnsi="宋体" w:eastAsia="宋体"/>
          <w:sz w:val="24"/>
          <w:szCs w:val="24"/>
        </w:rPr>
      </w:pPr>
    </w:p>
    <w:p>
      <w:pPr>
        <w:pStyle w:val="23"/>
        <w:spacing w:after="0"/>
        <w:ind w:firstLine="0" w:firstLineChars="0"/>
        <w:rPr>
          <w:rFonts w:ascii="宋体" w:hAnsi="宋体" w:eastAsia="宋体"/>
          <w:sz w:val="24"/>
          <w:szCs w:val="24"/>
        </w:rPr>
      </w:pPr>
      <w:r>
        <w:rPr>
          <w:rFonts w:hint="eastAsia" w:ascii="宋体" w:hAnsi="宋体" w:eastAsia="宋体"/>
          <w:sz w:val="24"/>
          <w:szCs w:val="24"/>
        </w:rPr>
        <w:t>注：</w:t>
      </w:r>
    </w:p>
    <w:p>
      <w:pPr>
        <w:pStyle w:val="23"/>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23"/>
        <w:spacing w:after="0"/>
        <w:ind w:firstLine="0"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rPr>
          <w:rFonts w:ascii="宋体" w:hAnsi="宋体"/>
          <w:sz w:val="24"/>
        </w:rPr>
        <w:sectPr>
          <w:pgSz w:w="11906" w:h="16838"/>
          <w:pgMar w:top="1383" w:right="1080" w:bottom="986" w:left="1080" w:header="851" w:footer="709" w:gutter="0"/>
          <w:cols w:space="720" w:num="1"/>
          <w:docGrid w:linePitch="312" w:charSpace="0"/>
        </w:sectPr>
      </w:pPr>
    </w:p>
    <w:p>
      <w:pPr>
        <w:rPr>
          <w:rFonts w:ascii="宋体" w:hAnsi="宋体"/>
          <w:sz w:val="24"/>
        </w:rPr>
      </w:pPr>
      <w:r>
        <w:rPr>
          <w:rFonts w:hint="eastAsia" w:ascii="宋体" w:hAnsi="宋体"/>
          <w:b/>
          <w:bCs/>
          <w:sz w:val="32"/>
          <w:szCs w:val="32"/>
        </w:rPr>
        <w:t>评分办法</w:t>
      </w:r>
      <w:bookmarkEnd w:id="13"/>
    </w:p>
    <w:tbl>
      <w:tblPr>
        <w:tblStyle w:val="13"/>
        <w:tblpPr w:leftFromText="180" w:rightFromText="180" w:vertAnchor="text" w:horzAnchor="page" w:tblpXSpec="center" w:tblpY="259"/>
        <w:tblOverlap w:val="never"/>
        <w:tblW w:w="8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03"/>
        <w:gridCol w:w="706"/>
        <w:gridCol w:w="6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93" w:type="dxa"/>
            <w:gridSpan w:val="2"/>
            <w:vAlign w:val="center"/>
          </w:tcPr>
          <w:p>
            <w:pPr>
              <w:widowControl/>
              <w:jc w:val="center"/>
              <w:rPr>
                <w:rFonts w:ascii="宋体" w:hAnsi="宋体" w:cs="宋体"/>
                <w:b/>
                <w:bCs w:val="0"/>
                <w:kern w:val="0"/>
                <w:szCs w:val="21"/>
              </w:rPr>
            </w:pPr>
            <w:r>
              <w:rPr>
                <w:rFonts w:hint="eastAsia" w:ascii="宋体" w:hAnsi="宋体" w:cs="宋体"/>
                <w:b/>
                <w:bCs w:val="0"/>
                <w:kern w:val="0"/>
                <w:szCs w:val="21"/>
              </w:rPr>
              <w:t>评分工程</w:t>
            </w:r>
          </w:p>
        </w:tc>
        <w:tc>
          <w:tcPr>
            <w:tcW w:w="706" w:type="dxa"/>
            <w:vAlign w:val="center"/>
          </w:tcPr>
          <w:p>
            <w:pPr>
              <w:widowControl/>
              <w:jc w:val="center"/>
              <w:rPr>
                <w:rFonts w:ascii="宋体" w:hAnsi="宋体" w:cs="宋体"/>
                <w:b/>
                <w:bCs w:val="0"/>
                <w:kern w:val="0"/>
                <w:szCs w:val="21"/>
              </w:rPr>
            </w:pPr>
            <w:r>
              <w:rPr>
                <w:rFonts w:hint="eastAsia" w:ascii="宋体" w:hAnsi="宋体" w:cs="宋体"/>
                <w:b/>
                <w:bCs w:val="0"/>
                <w:kern w:val="0"/>
                <w:szCs w:val="21"/>
              </w:rPr>
              <w:t>分数</w:t>
            </w:r>
          </w:p>
        </w:tc>
        <w:tc>
          <w:tcPr>
            <w:tcW w:w="6240" w:type="dxa"/>
            <w:vAlign w:val="center"/>
          </w:tcPr>
          <w:p>
            <w:pPr>
              <w:widowControl/>
              <w:jc w:val="center"/>
              <w:rPr>
                <w:rFonts w:ascii="宋体" w:hAnsi="宋体" w:cs="宋体"/>
                <w:b/>
                <w:bCs w:val="0"/>
                <w:kern w:val="0"/>
                <w:szCs w:val="21"/>
              </w:rPr>
            </w:pPr>
            <w:r>
              <w:rPr>
                <w:rFonts w:hint="eastAsia" w:ascii="宋体" w:hAnsi="宋体" w:cs="宋体"/>
                <w:b/>
                <w:bCs w:val="0"/>
                <w:kern w:val="0"/>
                <w:szCs w:val="21"/>
              </w:rPr>
              <w:t>评分方法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690" w:type="dxa"/>
            <w:vMerge w:val="restart"/>
            <w:vAlign w:val="center"/>
          </w:tcPr>
          <w:p>
            <w:pPr>
              <w:widowControl/>
              <w:jc w:val="center"/>
              <w:rPr>
                <w:rFonts w:ascii="宋体" w:hAnsi="宋体" w:cs="宋体"/>
                <w:bCs/>
                <w:kern w:val="0"/>
                <w:szCs w:val="21"/>
              </w:rPr>
            </w:pPr>
            <w:r>
              <w:rPr>
                <w:rFonts w:hint="eastAsia" w:ascii="宋体" w:hAnsi="宋体" w:cs="宋体"/>
                <w:bCs/>
                <w:kern w:val="0"/>
                <w:szCs w:val="21"/>
              </w:rPr>
              <w:t>商务</w:t>
            </w:r>
          </w:p>
          <w:p>
            <w:pPr>
              <w:widowControl/>
              <w:jc w:val="center"/>
              <w:rPr>
                <w:rFonts w:ascii="宋体" w:hAnsi="宋体" w:cs="宋体"/>
                <w:bCs/>
                <w:kern w:val="0"/>
                <w:szCs w:val="21"/>
              </w:rPr>
            </w:pPr>
            <w:r>
              <w:rPr>
                <w:rFonts w:hint="eastAsia" w:ascii="宋体" w:hAnsi="宋体" w:cs="宋体"/>
                <w:bCs/>
                <w:kern w:val="0"/>
                <w:szCs w:val="21"/>
              </w:rPr>
              <w:t>部</w:t>
            </w:r>
          </w:p>
          <w:p>
            <w:pPr>
              <w:widowControl/>
              <w:jc w:val="center"/>
              <w:rPr>
                <w:rFonts w:ascii="宋体" w:hAnsi="宋体" w:cs="宋体"/>
                <w:bCs/>
                <w:kern w:val="0"/>
                <w:szCs w:val="21"/>
              </w:rPr>
            </w:pPr>
            <w:r>
              <w:rPr>
                <w:rFonts w:hint="eastAsia" w:cs="宋体"/>
                <w:bCs/>
                <w:kern w:val="0"/>
                <w:szCs w:val="21"/>
              </w:rPr>
              <w:t>分</w:t>
            </w:r>
          </w:p>
          <w:p>
            <w:pPr>
              <w:widowControl/>
              <w:jc w:val="center"/>
              <w:rPr>
                <w:rFonts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5分</w:t>
            </w:r>
          </w:p>
        </w:tc>
        <w:tc>
          <w:tcPr>
            <w:tcW w:w="1303" w:type="dxa"/>
            <w:vAlign w:val="center"/>
          </w:tcPr>
          <w:p>
            <w:pPr>
              <w:widowControl/>
              <w:jc w:val="center"/>
              <w:rPr>
                <w:rFonts w:ascii="宋体" w:hAnsi="宋体" w:cs="宋体"/>
                <w:bCs/>
                <w:kern w:val="0"/>
                <w:szCs w:val="21"/>
              </w:rPr>
            </w:pPr>
            <w:r>
              <w:rPr>
                <w:rFonts w:hint="eastAsia" w:ascii="宋体" w:hAnsi="宋体" w:cs="宋体"/>
                <w:bCs/>
                <w:kern w:val="0"/>
                <w:szCs w:val="21"/>
              </w:rPr>
              <w:t>投标报价</w:t>
            </w:r>
          </w:p>
        </w:tc>
        <w:tc>
          <w:tcPr>
            <w:tcW w:w="706" w:type="dxa"/>
            <w:vAlign w:val="center"/>
          </w:tcPr>
          <w:p>
            <w:pPr>
              <w:widowControl/>
              <w:jc w:val="center"/>
              <w:rPr>
                <w:rFonts w:ascii="宋体" w:hAnsi="宋体" w:cs="宋体"/>
                <w:bCs/>
                <w:kern w:val="0"/>
                <w:szCs w:val="21"/>
              </w:rPr>
            </w:pPr>
            <w:r>
              <w:rPr>
                <w:rFonts w:hint="eastAsia" w:cs="宋体"/>
                <w:bCs/>
                <w:kern w:val="0"/>
                <w:szCs w:val="21"/>
                <w:lang w:val="en-US" w:eastAsia="zh-CN"/>
              </w:rPr>
              <w:t>4</w:t>
            </w:r>
            <w:r>
              <w:rPr>
                <w:rFonts w:hint="eastAsia" w:cs="宋体"/>
                <w:bCs/>
                <w:kern w:val="0"/>
                <w:szCs w:val="21"/>
              </w:rPr>
              <w:t>0</w:t>
            </w:r>
          </w:p>
        </w:tc>
        <w:tc>
          <w:tcPr>
            <w:tcW w:w="6240" w:type="dxa"/>
            <w:vAlign w:val="center"/>
          </w:tcPr>
          <w:p>
            <w:pPr>
              <w:widowControl/>
              <w:jc w:val="left"/>
              <w:rPr>
                <w:rFonts w:ascii="宋体" w:hAnsi="宋体" w:cs="宋体"/>
                <w:bCs/>
                <w:kern w:val="0"/>
                <w:szCs w:val="21"/>
              </w:rPr>
            </w:pPr>
            <w:r>
              <w:rPr>
                <w:color w:val="000000"/>
                <w:kern w:val="0"/>
                <w:szCs w:val="21"/>
              </w:rPr>
              <w:t>满足采购文件要求且投标价格最低的投标报价为评标基准价，其价格分为满分。其他投标人的价格分统一按照下列公式计算：投标报价得分=(评标基准价／投标报价)×</w:t>
            </w:r>
            <w:r>
              <w:rPr>
                <w:rFonts w:hint="eastAsia"/>
                <w:color w:val="000000"/>
                <w:kern w:val="0"/>
                <w:szCs w:val="21"/>
                <w:lang w:val="en-US" w:eastAsia="zh-CN"/>
              </w:rPr>
              <w:t>4</w:t>
            </w:r>
            <w:r>
              <w:rPr>
                <w:rFonts w:hint="eastAsia"/>
                <w:color w:val="000000"/>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widowControl/>
              <w:jc w:val="center"/>
              <w:rPr>
                <w:bCs/>
                <w:kern w:val="0"/>
                <w:szCs w:val="21"/>
              </w:rPr>
            </w:pPr>
            <w:r>
              <w:rPr>
                <w:kern w:val="0"/>
                <w:szCs w:val="21"/>
              </w:rPr>
              <w:t>企业规模与实力</w:t>
            </w:r>
          </w:p>
        </w:tc>
        <w:tc>
          <w:tcPr>
            <w:tcW w:w="706" w:type="dxa"/>
            <w:vAlign w:val="center"/>
          </w:tcPr>
          <w:p>
            <w:pPr>
              <w:widowControl/>
              <w:jc w:val="center"/>
              <w:rPr>
                <w:bCs/>
                <w:kern w:val="0"/>
                <w:szCs w:val="21"/>
              </w:rPr>
            </w:pPr>
            <w:r>
              <w:rPr>
                <w:bCs/>
                <w:kern w:val="0"/>
                <w:szCs w:val="21"/>
              </w:rPr>
              <w:t>5</w:t>
            </w:r>
          </w:p>
        </w:tc>
        <w:tc>
          <w:tcPr>
            <w:tcW w:w="6240" w:type="dxa"/>
            <w:vAlign w:val="center"/>
          </w:tcPr>
          <w:p>
            <w:pPr>
              <w:widowControl/>
              <w:rPr>
                <w:kern w:val="0"/>
                <w:szCs w:val="21"/>
              </w:rPr>
            </w:pPr>
            <w:r>
              <w:rPr>
                <w:kern w:val="0"/>
                <w:szCs w:val="21"/>
              </w:rPr>
              <w:t>综合考虑</w:t>
            </w:r>
            <w:r>
              <w:rPr>
                <w:rFonts w:hint="eastAsia"/>
                <w:kern w:val="0"/>
                <w:szCs w:val="21"/>
              </w:rPr>
              <w:t>各</w:t>
            </w:r>
            <w:r>
              <w:rPr>
                <w:kern w:val="0"/>
                <w:szCs w:val="21"/>
              </w:rPr>
              <w:t>投标</w:t>
            </w:r>
            <w:r>
              <w:rPr>
                <w:rFonts w:hint="eastAsia"/>
                <w:kern w:val="0"/>
                <w:szCs w:val="21"/>
              </w:rPr>
              <w:t>人</w:t>
            </w:r>
            <w:r>
              <w:rPr>
                <w:kern w:val="0"/>
                <w:szCs w:val="21"/>
              </w:rPr>
              <w:t>的规模、资金、实力、资质、信誉。优等的5分，良等的4分，一般的3分，其他的3分以下。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690" w:type="dxa"/>
            <w:vMerge w:val="continue"/>
            <w:vAlign w:val="center"/>
          </w:tcPr>
          <w:p>
            <w:pPr>
              <w:jc w:val="center"/>
              <w:rPr>
                <w:rFonts w:ascii="宋体" w:hAnsi="宋体" w:cs="宋体"/>
                <w:bCs/>
                <w:kern w:val="0"/>
                <w:szCs w:val="21"/>
              </w:rPr>
            </w:pPr>
          </w:p>
        </w:tc>
        <w:tc>
          <w:tcPr>
            <w:tcW w:w="1303" w:type="dxa"/>
            <w:vAlign w:val="center"/>
          </w:tcPr>
          <w:p>
            <w:pPr>
              <w:widowControl/>
              <w:jc w:val="center"/>
              <w:rPr>
                <w:rFonts w:ascii="宋体" w:hAnsi="宋体" w:cs="宋体"/>
                <w:bCs/>
                <w:kern w:val="0"/>
                <w:szCs w:val="21"/>
              </w:rPr>
            </w:pPr>
            <w:r>
              <w:rPr>
                <w:rFonts w:hint="eastAsia" w:ascii="宋体" w:hAnsi="宋体" w:cs="宋体"/>
                <w:bCs/>
                <w:kern w:val="0"/>
                <w:szCs w:val="21"/>
              </w:rPr>
              <w:t>投标人综合实力及业绩</w:t>
            </w:r>
          </w:p>
        </w:tc>
        <w:tc>
          <w:tcPr>
            <w:tcW w:w="706" w:type="dxa"/>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6240" w:type="dxa"/>
            <w:vAlign w:val="center"/>
          </w:tcPr>
          <w:p>
            <w:pPr>
              <w:pStyle w:val="25"/>
              <w:spacing w:line="269" w:lineRule="exact"/>
              <w:ind w:left="4"/>
              <w:rPr>
                <w:rFonts w:ascii="Times New Roman" w:hAnsi="Times New Roman" w:cs="Times New Roman"/>
              </w:rPr>
            </w:pPr>
            <w:r>
              <w:rPr>
                <w:rFonts w:ascii="Times New Roman" w:hAnsi="Times New Roman" w:cs="Times New Roman"/>
                <w:spacing w:val="-12"/>
              </w:rPr>
              <w:t xml:space="preserve">提供近 </w:t>
            </w:r>
            <w:r>
              <w:rPr>
                <w:rFonts w:ascii="Times New Roman" w:hAnsi="Times New Roman" w:eastAsia="Times New Roman" w:cs="Times New Roman"/>
              </w:rPr>
              <w:t>3</w:t>
            </w:r>
            <w:r>
              <w:rPr>
                <w:rFonts w:ascii="Times New Roman" w:hAnsi="Times New Roman" w:eastAsia="Times New Roman" w:cs="Times New Roman"/>
                <w:spacing w:val="-3"/>
              </w:rPr>
              <w:t xml:space="preserve"> </w:t>
            </w:r>
            <w:r>
              <w:rPr>
                <w:rFonts w:ascii="Times New Roman" w:hAnsi="Times New Roman" w:cs="Times New Roman"/>
                <w:spacing w:val="4"/>
              </w:rPr>
              <w:t>年</w:t>
            </w:r>
            <w:r>
              <w:rPr>
                <w:rFonts w:ascii="Times New Roman" w:hAnsi="Times New Roman" w:cs="Times New Roman"/>
              </w:rPr>
              <w:t>（</w:t>
            </w:r>
            <w:r>
              <w:rPr>
                <w:rFonts w:ascii="Times New Roman" w:hAnsi="Times New Roman" w:eastAsia="Times New Roman" w:cs="Times New Roman"/>
              </w:rPr>
              <w:t>20</w:t>
            </w:r>
            <w:r>
              <w:rPr>
                <w:rFonts w:hint="eastAsia" w:ascii="Times New Roman" w:hAnsi="Times New Roman" w:cs="Times New Roman"/>
                <w:lang w:val="en-US"/>
              </w:rPr>
              <w:t>20</w:t>
            </w:r>
            <w:r>
              <w:rPr>
                <w:rFonts w:ascii="Times New Roman" w:hAnsi="Times New Roman" w:cs="Times New Roman"/>
                <w:spacing w:val="-27"/>
              </w:rPr>
              <w:t xml:space="preserve">年 </w:t>
            </w:r>
            <w:r>
              <w:rPr>
                <w:rFonts w:hint="eastAsia" w:ascii="Times New Roman" w:hAnsi="Times New Roman" w:cs="Times New Roman"/>
                <w:spacing w:val="-27"/>
                <w:lang w:val="en-US"/>
              </w:rPr>
              <w:t>7</w:t>
            </w:r>
            <w:r>
              <w:rPr>
                <w:rFonts w:ascii="Times New Roman" w:hAnsi="Times New Roman" w:cs="Times New Roman"/>
                <w:spacing w:val="4"/>
              </w:rPr>
              <w:t>月至投标截止日）</w:t>
            </w:r>
            <w:r>
              <w:rPr>
                <w:rFonts w:ascii="Times New Roman" w:hAnsi="Times New Roman" w:cs="Times New Roman"/>
                <w:spacing w:val="3"/>
              </w:rPr>
              <w:t>的与本项目类似的相关业绩，</w:t>
            </w:r>
          </w:p>
          <w:p>
            <w:pPr>
              <w:widowControl/>
              <w:jc w:val="left"/>
              <w:rPr>
                <w:rFonts w:ascii="宋体" w:hAnsi="宋体"/>
                <w:color w:val="000000"/>
                <w:szCs w:val="21"/>
              </w:rPr>
            </w:pPr>
            <w:r>
              <w:t>每提供一个有效业绩（提供合同复印件加盖投标人公章））</w:t>
            </w:r>
            <w:r>
              <w:rPr>
                <w:spacing w:val="-29"/>
              </w:rPr>
              <w:t xml:space="preserve">得 </w:t>
            </w:r>
            <w:r>
              <w:rPr>
                <w:rFonts w:hint="eastAsia"/>
                <w:spacing w:val="-29"/>
              </w:rPr>
              <w:t>1</w:t>
            </w:r>
            <w:r>
              <w:t>分，最高</w:t>
            </w:r>
            <w:r>
              <w:rPr>
                <w:rFonts w:hint="eastAsia"/>
              </w:rPr>
              <w:t>1</w:t>
            </w:r>
            <w:r>
              <w:rPr>
                <w:rFonts w:eastAsia="Times New Roman"/>
              </w:rPr>
              <w:t>0</w:t>
            </w:r>
            <w:r>
              <w:rPr>
                <w:rFonts w:eastAsia="Times New Roman"/>
                <w:spacing w:val="-10"/>
              </w:rPr>
              <w:t xml:space="preserve"> </w:t>
            </w:r>
            <w:r>
              <w:t>分（须提供合同首页、服务内容页、用户签字盖章页等关键页复印件， 并加盖公章，否则不得分）。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690" w:type="dxa"/>
            <w:vMerge w:val="restart"/>
            <w:vAlign w:val="center"/>
          </w:tcPr>
          <w:p>
            <w:pPr>
              <w:widowControl/>
              <w:jc w:val="center"/>
              <w:rPr>
                <w:rFonts w:ascii="宋体" w:hAnsi="宋体" w:cs="宋体"/>
                <w:bCs/>
                <w:kern w:val="0"/>
                <w:szCs w:val="21"/>
              </w:rPr>
            </w:pPr>
            <w:r>
              <w:rPr>
                <w:rFonts w:hint="eastAsia" w:ascii="宋体" w:hAnsi="宋体" w:cs="宋体"/>
                <w:bCs/>
                <w:kern w:val="0"/>
                <w:szCs w:val="21"/>
              </w:rPr>
              <w:t>技</w:t>
            </w:r>
          </w:p>
          <w:p>
            <w:pPr>
              <w:widowControl/>
              <w:jc w:val="center"/>
              <w:rPr>
                <w:rFonts w:ascii="宋体" w:hAnsi="宋体" w:cs="宋体"/>
                <w:bCs/>
                <w:kern w:val="0"/>
                <w:szCs w:val="21"/>
              </w:rPr>
            </w:pPr>
            <w:r>
              <w:rPr>
                <w:rFonts w:hint="eastAsia" w:ascii="宋体" w:hAnsi="宋体" w:cs="宋体"/>
                <w:bCs/>
                <w:kern w:val="0"/>
                <w:szCs w:val="21"/>
              </w:rPr>
              <w:t>术</w:t>
            </w:r>
          </w:p>
          <w:p>
            <w:pPr>
              <w:widowControl/>
              <w:jc w:val="center"/>
              <w:rPr>
                <w:rFonts w:ascii="宋体" w:hAnsi="宋体" w:cs="宋体"/>
                <w:bCs/>
                <w:kern w:val="0"/>
                <w:szCs w:val="21"/>
              </w:rPr>
            </w:pPr>
            <w:r>
              <w:rPr>
                <w:rFonts w:hint="eastAsia" w:ascii="宋体" w:hAnsi="宋体" w:cs="宋体"/>
                <w:bCs/>
                <w:kern w:val="0"/>
                <w:szCs w:val="21"/>
              </w:rPr>
              <w:t>部</w:t>
            </w:r>
          </w:p>
          <w:p>
            <w:pPr>
              <w:widowControl/>
              <w:jc w:val="center"/>
              <w:rPr>
                <w:rFonts w:ascii="宋体" w:hAnsi="宋体" w:cs="宋体"/>
                <w:bCs/>
                <w:kern w:val="0"/>
                <w:szCs w:val="21"/>
              </w:rPr>
            </w:pPr>
            <w:r>
              <w:rPr>
                <w:rFonts w:hint="eastAsia" w:ascii="宋体" w:hAnsi="宋体" w:cs="宋体"/>
                <w:bCs/>
                <w:kern w:val="0"/>
                <w:szCs w:val="21"/>
              </w:rPr>
              <w:t>分</w:t>
            </w:r>
          </w:p>
          <w:p>
            <w:pPr>
              <w:widowControl/>
              <w:jc w:val="center"/>
              <w:rPr>
                <w:rFonts w:ascii="宋体" w:hAnsi="宋体" w:cs="宋体"/>
                <w:bCs/>
                <w:kern w:val="0"/>
                <w:szCs w:val="21"/>
              </w:rPr>
            </w:pPr>
            <w:r>
              <w:rPr>
                <w:rFonts w:hint="eastAsia" w:ascii="宋体" w:hAnsi="宋体" w:cs="宋体"/>
                <w:bCs/>
                <w:kern w:val="0"/>
                <w:szCs w:val="21"/>
                <w:lang w:val="en-US" w:eastAsia="zh-CN"/>
              </w:rPr>
              <w:t>45</w:t>
            </w:r>
            <w:r>
              <w:rPr>
                <w:rFonts w:hint="eastAsia" w:ascii="宋体" w:hAnsi="宋体" w:cs="宋体"/>
                <w:bCs/>
                <w:kern w:val="0"/>
                <w:szCs w:val="21"/>
              </w:rPr>
              <w:t>分</w:t>
            </w:r>
          </w:p>
        </w:tc>
        <w:tc>
          <w:tcPr>
            <w:tcW w:w="1303" w:type="dxa"/>
            <w:vAlign w:val="center"/>
          </w:tcPr>
          <w:p>
            <w:pPr>
              <w:widowControl/>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品牌与选型</w:t>
            </w:r>
          </w:p>
        </w:tc>
        <w:tc>
          <w:tcPr>
            <w:tcW w:w="706" w:type="dxa"/>
            <w:vAlign w:val="center"/>
          </w:tcPr>
          <w:p>
            <w:pPr>
              <w:widowControl/>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15</w:t>
            </w:r>
          </w:p>
        </w:tc>
        <w:tc>
          <w:tcPr>
            <w:tcW w:w="6240" w:type="dxa"/>
            <w:vAlign w:val="center"/>
          </w:tcPr>
          <w:p>
            <w:pPr>
              <w:widowControl/>
              <w:jc w:val="left"/>
            </w:pPr>
            <w:r>
              <w:rPr>
                <w:rFonts w:hint="eastAsia" w:eastAsia="Times New Roman"/>
              </w:rPr>
              <w:t>根据投标人所投设备的品牌与选型情况进行综合打分。优等</w:t>
            </w:r>
            <w:r>
              <w:rPr>
                <w:rFonts w:hint="eastAsia" w:eastAsia="Times New Roman"/>
                <w:lang w:val="en-US" w:eastAsia="zh-CN"/>
              </w:rPr>
              <w:t>10-15</w:t>
            </w:r>
            <w:r>
              <w:rPr>
                <w:rFonts w:hint="eastAsia" w:eastAsia="Times New Roman"/>
              </w:rPr>
              <w:t>分；良等的</w:t>
            </w:r>
            <w:r>
              <w:rPr>
                <w:rFonts w:hint="eastAsia" w:eastAsia="Times New Roman"/>
                <w:lang w:val="en-US" w:eastAsia="zh-CN"/>
              </w:rPr>
              <w:t>5-9</w:t>
            </w:r>
            <w:r>
              <w:rPr>
                <w:rFonts w:hint="eastAsia" w:eastAsia="Times New Roman"/>
              </w:rPr>
              <w:t>分，一般的</w:t>
            </w:r>
            <w:r>
              <w:rPr>
                <w:rFonts w:hint="eastAsia" w:eastAsia="Times New Roman"/>
                <w:lang w:val="en-US" w:eastAsia="zh-CN"/>
              </w:rPr>
              <w:t>2-4</w:t>
            </w:r>
            <w:r>
              <w:rPr>
                <w:rFonts w:hint="eastAsia" w:eastAsia="Times New Roman"/>
              </w:rPr>
              <w:t>分，其他的</w:t>
            </w:r>
            <w:r>
              <w:rPr>
                <w:rFonts w:hint="eastAsia" w:eastAsia="Times New Roman"/>
                <w:lang w:val="en-US" w:eastAsia="zh-CN"/>
              </w:rPr>
              <w:t>1</w:t>
            </w:r>
            <w:r>
              <w:rPr>
                <w:rFonts w:hint="eastAsia" w:eastAsia="Times New Roman"/>
              </w:rPr>
              <w:t>分以下。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widowControl/>
              <w:jc w:val="center"/>
              <w:rPr>
                <w:rFonts w:ascii="宋体" w:hAnsi="宋体" w:cs="宋体"/>
                <w:bCs/>
                <w:kern w:val="0"/>
                <w:szCs w:val="21"/>
              </w:rPr>
            </w:pPr>
            <w:r>
              <w:rPr>
                <w:rFonts w:hint="eastAsia" w:ascii="宋体" w:hAnsi="宋体" w:cs="宋体"/>
                <w:bCs/>
                <w:kern w:val="0"/>
                <w:szCs w:val="21"/>
              </w:rPr>
              <w:t>设备安装、调试、检测及项目施工组织设计</w:t>
            </w:r>
          </w:p>
        </w:tc>
        <w:tc>
          <w:tcPr>
            <w:tcW w:w="706" w:type="dxa"/>
            <w:vAlign w:val="center"/>
          </w:tcPr>
          <w:p>
            <w:pPr>
              <w:widowControl/>
              <w:jc w:val="center"/>
              <w:rPr>
                <w:rFonts w:hint="eastAsia" w:ascii="宋体" w:hAnsi="宋体" w:eastAsia="宋体" w:cs="宋体"/>
                <w:bCs/>
                <w:kern w:val="0"/>
                <w:szCs w:val="21"/>
                <w:lang w:val="en-US" w:eastAsia="zh-CN"/>
              </w:rPr>
            </w:pPr>
            <w:r>
              <w:rPr>
                <w:rFonts w:hint="eastAsia" w:ascii="宋体" w:hAnsi="宋体" w:cs="宋体"/>
                <w:bCs/>
                <w:kern w:val="0"/>
                <w:szCs w:val="21"/>
              </w:rPr>
              <w:t>1</w:t>
            </w:r>
            <w:r>
              <w:rPr>
                <w:rFonts w:hint="eastAsia" w:ascii="宋体" w:hAnsi="宋体" w:cs="宋体"/>
                <w:bCs/>
                <w:kern w:val="0"/>
                <w:szCs w:val="21"/>
                <w:lang w:val="en-US" w:eastAsia="zh-CN"/>
              </w:rPr>
              <w:t>0</w:t>
            </w:r>
          </w:p>
        </w:tc>
        <w:tc>
          <w:tcPr>
            <w:tcW w:w="6240" w:type="dxa"/>
            <w:vAlign w:val="center"/>
          </w:tcPr>
          <w:p>
            <w:pPr>
              <w:widowControl/>
              <w:jc w:val="left"/>
            </w:pPr>
            <w:r>
              <w:rPr>
                <w:rFonts w:hint="eastAsia"/>
              </w:rPr>
              <w:t>1、质量</w:t>
            </w:r>
            <w:r>
              <w:rPr>
                <w:rFonts w:hint="eastAsia"/>
                <w:lang w:val="en-US" w:eastAsia="zh-CN"/>
              </w:rPr>
              <w:t>工期的</w:t>
            </w:r>
            <w:r>
              <w:rPr>
                <w:rFonts w:hint="eastAsia"/>
              </w:rPr>
              <w:t>保证与控制措施</w:t>
            </w:r>
            <w:r>
              <w:rPr>
                <w:rFonts w:hint="eastAsia"/>
                <w:lang w:eastAsia="zh-CN"/>
              </w:rPr>
              <w:t>（</w:t>
            </w:r>
            <w:r>
              <w:rPr>
                <w:rFonts w:hint="eastAsia"/>
                <w:lang w:val="en-US" w:eastAsia="zh-CN"/>
              </w:rPr>
              <w:t>包括主材选取、设备及电缆的安装与调试</w:t>
            </w:r>
            <w:r>
              <w:rPr>
                <w:rFonts w:hint="eastAsia"/>
                <w:lang w:eastAsia="zh-CN"/>
              </w:rPr>
              <w:t>）</w:t>
            </w:r>
            <w:r>
              <w:rPr>
                <w:rFonts w:hint="eastAsia"/>
              </w:rPr>
              <w:t xml:space="preserve">表达清楚、详尽、合理；(1一3分) </w:t>
            </w:r>
          </w:p>
          <w:p>
            <w:pPr>
              <w:widowControl/>
              <w:jc w:val="left"/>
            </w:pPr>
            <w:r>
              <w:rPr>
                <w:rFonts w:hint="eastAsia"/>
                <w:lang w:val="en-US" w:eastAsia="zh-CN"/>
              </w:rPr>
              <w:t>2</w:t>
            </w:r>
            <w:r>
              <w:rPr>
                <w:rFonts w:hint="eastAsia"/>
              </w:rPr>
              <w:t>、施工总进度网络图表述清楚、详尽、合理：(1一2分) </w:t>
            </w:r>
          </w:p>
          <w:p>
            <w:pPr>
              <w:widowControl/>
              <w:jc w:val="left"/>
            </w:pPr>
            <w:r>
              <w:rPr>
                <w:rFonts w:hint="eastAsia"/>
                <w:lang w:val="en-US" w:eastAsia="zh-CN"/>
              </w:rPr>
              <w:t>3</w:t>
            </w:r>
            <w:r>
              <w:rPr>
                <w:rFonts w:hint="eastAsia"/>
              </w:rPr>
              <w:t>、平安文明施工保障措施表达清楚、详尽、合理；(1一2分)</w:t>
            </w:r>
          </w:p>
          <w:p>
            <w:pPr>
              <w:widowControl/>
              <w:jc w:val="left"/>
            </w:pPr>
            <w:r>
              <w:rPr>
                <w:rFonts w:hint="eastAsia"/>
                <w:lang w:val="en-US" w:eastAsia="zh-CN"/>
              </w:rPr>
              <w:t>4</w:t>
            </w:r>
            <w:r>
              <w:rPr>
                <w:rFonts w:hint="eastAsia"/>
              </w:rPr>
              <w:t>、安装、调试、检测方案合理：(1一3分)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snapToGrid w:val="0"/>
              <w:spacing w:line="240" w:lineRule="exact"/>
              <w:jc w:val="center"/>
              <w:rPr>
                <w:rFonts w:ascii="宋体" w:hAnsi="宋体" w:cs="宋体"/>
                <w:bCs/>
                <w:kern w:val="0"/>
                <w:szCs w:val="21"/>
              </w:rPr>
            </w:pPr>
            <w:r>
              <w:rPr>
                <w:rFonts w:hint="eastAsia" w:hAnsi="宋体" w:cs="宋体"/>
                <w:color w:val="000000" w:themeColor="text1"/>
                <w:kern w:val="0"/>
                <w:szCs w:val="21"/>
                <w14:textFill>
                  <w14:solidFill>
                    <w14:schemeClr w14:val="tx1"/>
                  </w14:solidFill>
                </w14:textFill>
              </w:rPr>
              <w:t>售后维保服务、人员培训、项目负责人及人员队伍配置</w:t>
            </w:r>
          </w:p>
        </w:tc>
        <w:tc>
          <w:tcPr>
            <w:tcW w:w="706" w:type="dxa"/>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6240" w:type="dxa"/>
            <w:vAlign w:val="center"/>
          </w:tcPr>
          <w:p>
            <w:pPr>
              <w:widowControl/>
              <w:numPr>
                <w:ilvl w:val="0"/>
                <w:numId w:val="7"/>
              </w:numPr>
              <w:jc w:val="left"/>
            </w:pPr>
            <w:r>
              <w:rPr>
                <w:rFonts w:hint="eastAsia"/>
              </w:rPr>
              <w:t>售后维保方案服务响应及时、应急预案内容全面，表达清楚、详尽、合理（(1一4分)；</w:t>
            </w:r>
          </w:p>
          <w:p>
            <w:pPr>
              <w:widowControl/>
              <w:numPr>
                <w:ilvl w:val="0"/>
                <w:numId w:val="7"/>
              </w:numPr>
              <w:jc w:val="left"/>
            </w:pPr>
            <w:r>
              <w:rPr>
                <w:rFonts w:hint="eastAsia"/>
              </w:rPr>
              <w:t>项目负责人及人员队伍配备、管理措施表达清楚、详尽、合理：(1一3分)；</w:t>
            </w:r>
          </w:p>
          <w:p>
            <w:pPr>
              <w:widowControl/>
              <w:numPr>
                <w:ilvl w:val="0"/>
                <w:numId w:val="7"/>
              </w:numPr>
              <w:jc w:val="left"/>
            </w:pPr>
            <w:r>
              <w:rPr>
                <w:rFonts w:hint="eastAsia"/>
              </w:rPr>
              <w:t>人员培训组织合理，条目清晰，对项目运营情况提供常规检测排查的基本内容，表达清楚、详尽、合理（(1一3分)；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snapToGrid w:val="0"/>
              <w:spacing w:line="240" w:lineRule="exact"/>
              <w:jc w:val="center"/>
              <w:rPr>
                <w:rFonts w:ascii="宋体" w:hAnsi="宋体" w:cs="宋体"/>
                <w:bCs/>
                <w:kern w:val="0"/>
                <w:szCs w:val="21"/>
              </w:rPr>
            </w:pPr>
            <w:r>
              <w:rPr>
                <w:rFonts w:hint="eastAsia" w:hAnsi="宋体" w:cs="宋体"/>
                <w:color w:val="000000" w:themeColor="text1"/>
                <w:kern w:val="0"/>
                <w:szCs w:val="21"/>
                <w14:textFill>
                  <w14:solidFill>
                    <w14:schemeClr w14:val="tx1"/>
                  </w14:solidFill>
                </w14:textFill>
              </w:rPr>
              <w:t>项目设施设备及配套方案</w:t>
            </w:r>
          </w:p>
        </w:tc>
        <w:tc>
          <w:tcPr>
            <w:tcW w:w="706" w:type="dxa"/>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6240" w:type="dxa"/>
            <w:vAlign w:val="center"/>
          </w:tcPr>
          <w:p>
            <w:pPr>
              <w:widowControl/>
              <w:jc w:val="left"/>
              <w:rPr>
                <w:rFonts w:ascii="宋体" w:hAnsi="宋体" w:cs="宋体"/>
                <w:bCs/>
                <w:kern w:val="0"/>
                <w:szCs w:val="21"/>
              </w:rPr>
            </w:pPr>
            <w:r>
              <w:rPr>
                <w:rFonts w:hint="eastAsia" w:hAnsi="宋体" w:cs="宋体"/>
                <w:color w:val="000000" w:themeColor="text1"/>
                <w:kern w:val="0"/>
                <w:szCs w:val="21"/>
                <w14:textFill>
                  <w14:solidFill>
                    <w14:schemeClr w14:val="tx1"/>
                  </w14:solidFill>
                </w14:textFill>
              </w:rPr>
              <w:t>设施设备配套方案科学合理，条目清晰，方案中应有功能性描述、技术参数、外观以及入场安装要求等。设施设备应遵循节能降耗、环保，符合国家消防规范、安全规范；设备接入条件应充分结合现场勘查结果，科学配置，设施设备预算分配合理。</w:t>
            </w:r>
            <w:r>
              <w:rPr>
                <w:rFonts w:hAnsi="宋体"/>
                <w:color w:val="000000" w:themeColor="text1"/>
                <w:szCs w:val="21"/>
                <w14:textFill>
                  <w14:solidFill>
                    <w14:schemeClr w14:val="tx1"/>
                  </w14:solidFill>
                </w14:textFill>
              </w:rPr>
              <w:t>评委根据其可行性和合理性</w:t>
            </w:r>
            <w:r>
              <w:rPr>
                <w:rFonts w:hint="eastAsia" w:hAnsi="宋体"/>
                <w:color w:val="000000" w:themeColor="text1"/>
                <w:szCs w:val="21"/>
                <w14:textFill>
                  <w14:solidFill>
                    <w14:schemeClr w14:val="tx1"/>
                  </w14:solidFill>
                </w14:textFill>
              </w:rPr>
              <w:t>综合</w:t>
            </w:r>
            <w:r>
              <w:rPr>
                <w:rFonts w:hAnsi="宋体"/>
                <w:color w:val="000000" w:themeColor="text1"/>
                <w:szCs w:val="21"/>
                <w14:textFill>
                  <w14:solidFill>
                    <w14:schemeClr w14:val="tx1"/>
                  </w14:solidFill>
                </w14:textFill>
              </w:rPr>
              <w:t>打分</w:t>
            </w:r>
            <w:r>
              <w:rPr>
                <w:rFonts w:hint="eastAsia" w:hAnsi="宋体"/>
                <w:color w:val="000000" w:themeColor="text1"/>
                <w:szCs w:val="21"/>
                <w14:textFill>
                  <w14:solidFill>
                    <w14:schemeClr w14:val="tx1"/>
                  </w14:solidFill>
                </w14:textFill>
              </w:rPr>
              <w:t>。优得10-8分，良得7-6分，中得</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分，其它</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分以下。</w:t>
            </w:r>
          </w:p>
        </w:tc>
      </w:tr>
    </w:tbl>
    <w:p>
      <w:pPr>
        <w:rPr>
          <w:color w:val="000000" w:themeColor="text1"/>
          <w14:textFill>
            <w14:solidFill>
              <w14:schemeClr w14:val="tx1"/>
            </w14:solidFill>
          </w14:textFill>
        </w:rPr>
      </w:pPr>
    </w:p>
    <w:p>
      <w:pPr>
        <w:pStyle w:val="19"/>
        <w:numPr>
          <w:ilvl w:val="0"/>
          <w:numId w:val="0"/>
        </w:numPr>
      </w:pPr>
    </w:p>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30FE426F-34E0-4445-8543-202E7D26DF8B}"/>
  </w:font>
  <w:font w:name="仿宋">
    <w:panose1 w:val="02010609060101010101"/>
    <w:charset w:val="86"/>
    <w:family w:val="modern"/>
    <w:pitch w:val="default"/>
    <w:sig w:usb0="800002BF" w:usb1="38CF7CFA" w:usb2="00000016" w:usb3="00000000" w:csb0="00040001" w:csb1="00000000"/>
    <w:embedRegular r:id="rId2" w:fontKey="{BECE77BE-B63B-4C80-B2C7-3B492D5CC46B}"/>
  </w:font>
  <w:font w:name="微软雅黑">
    <w:panose1 w:val="020B0503020204020204"/>
    <w:charset w:val="86"/>
    <w:family w:val="swiss"/>
    <w:pitch w:val="default"/>
    <w:sig w:usb0="80000287" w:usb1="2ACF3C50" w:usb2="00000016" w:usb3="00000000" w:csb0="0004001F" w:csb1="00000000"/>
    <w:embedRegular r:id="rId3" w:fontKey="{1B39E44B-504B-44F9-8D76-7F0609CAD4C5}"/>
  </w:font>
  <w:font w:name="华文楷体">
    <w:panose1 w:val="02010600040101010101"/>
    <w:charset w:val="86"/>
    <w:family w:val="auto"/>
    <w:pitch w:val="default"/>
    <w:sig w:usb0="00000287" w:usb1="080F0000" w:usb2="00000000" w:usb3="00000000" w:csb0="0004009F" w:csb1="DFD70000"/>
    <w:embedRegular r:id="rId4" w:fontKey="{03B8DA08-F5B1-4EAA-A00F-FDA43675F2DF}"/>
  </w:font>
  <w:font w:name="楷体">
    <w:panose1 w:val="02010609060101010101"/>
    <w:charset w:val="86"/>
    <w:family w:val="modern"/>
    <w:pitch w:val="default"/>
    <w:sig w:usb0="800002BF" w:usb1="38CF7CFA" w:usb2="00000016" w:usb3="00000000" w:csb0="00040001" w:csb1="00000000"/>
    <w:embedRegular r:id="rId5" w:fontKey="{F2077DD3-278F-47E1-9854-01C89982B7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9922510</wp:posOffset>
              </wp:positionV>
              <wp:extent cx="16637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rPr>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3pt;height:12pt;width:13.1pt;mso-position-horizontal-relative:page;mso-position-vertical-relative:page;z-index:-251657216;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BRSulSuQEAAHMDAAAOAAAAZHJzL2Uyb0RvYy54bWyt&#10;U0Gu0zAQ3SNxB8t7mrRAQVHTL6HqIyQESB8O4Dp2Y8n2WB63SS8AN2DFhj3n6jkYu00/fDZ/wcYZ&#10;z4yf33vjrG5GZ9lBRTTgWz6f1ZwpL6EzftfyL59vn73mDJPwnbDgVcuPCvnN+umT1RAatYAebKci&#10;IxCPzRBa3qcUmqpC2SsncAZBeSpqiE4k2sZd1UUxELqz1aKul9UAsQsRpEKk7OZc5BfE+BhA0NpI&#10;tQG5d8qnM2pUViSShL0JyNeFrdZKpo9ao0rMtpyUprLSJRRv81qtV6LZRRF6Iy8UxGMoPNDkhPF0&#10;6RVqI5Jg+2j+gXJGRkDQaSbBVWchxRFSMa8feHPXi6CKFrIaw9V0/H+w8sPhU2Smo5dAc/fC0cRP&#10;37+dfvw6/fzKKEcGDQEb6rsL1JnGNzBS85RHSmbdo44uf0kRozrZe7zaq8bEZD60XD5/RRVJpfnL&#10;xYu62F/dHw4R01sFjuWg5ZGmV0wVh/eYiAi1Ti35Lg+3xtoyQev/SlBjzlSZ+ZlhjtK4HS9yttAd&#10;SY1958nL/C6mIE7Bdgr2IZpdT3SK5gJJsyhkLu8mD/vPfbn4/l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Caut2gAAAA0BAAAPAAAAAAAAAAEAIAAAACIAAABkcnMvZG93bnJldi54bWxQSwEC&#10;FAAUAAAACACHTuJAUUrpUrkBAABzAwAADgAAAAAAAAABACAAAAApAQAAZHJzL2Uyb0RvYy54bWxQ&#10;SwUGAAAAAAYABgBZAQAAVAU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C94A4"/>
    <w:multiLevelType w:val="singleLevel"/>
    <w:tmpl w:val="9C9C94A4"/>
    <w:lvl w:ilvl="0" w:tentative="0">
      <w:start w:val="4"/>
      <w:numFmt w:val="chineseCounting"/>
      <w:suff w:val="space"/>
      <w:lvlText w:val="第%1章"/>
      <w:lvlJc w:val="left"/>
      <w:rPr>
        <w:rFonts w:hint="eastAsia"/>
      </w:rPr>
    </w:lvl>
  </w:abstractNum>
  <w:abstractNum w:abstractNumId="1">
    <w:nsid w:val="A43B97E9"/>
    <w:multiLevelType w:val="singleLevel"/>
    <w:tmpl w:val="A43B97E9"/>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4.%1"/>
      <w:lvlJc w:val="left"/>
      <w:pPr>
        <w:ind w:left="84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11FCA83"/>
    <w:multiLevelType w:val="singleLevel"/>
    <w:tmpl w:val="011FCA83"/>
    <w:lvl w:ilvl="0" w:tentative="0">
      <w:start w:val="3"/>
      <w:numFmt w:val="chineseCounting"/>
      <w:suff w:val="space"/>
      <w:lvlText w:val="第%1章"/>
      <w:lvlJc w:val="left"/>
      <w:rPr>
        <w:rFonts w:hint="eastAsia"/>
      </w:rPr>
    </w:lvl>
  </w:abstractNum>
  <w:abstractNum w:abstractNumId="4">
    <w:nsid w:val="09DC7194"/>
    <w:multiLevelType w:val="multilevel"/>
    <w:tmpl w:val="09DC7194"/>
    <w:lvl w:ilvl="0" w:tentative="0">
      <w:start w:val="1"/>
      <w:numFmt w:val="decimal"/>
      <w:pStyle w:val="19"/>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56D6133"/>
    <w:multiLevelType w:val="multilevel"/>
    <w:tmpl w:val="656D6133"/>
    <w:lvl w:ilvl="0" w:tentative="0">
      <w:start w:val="1"/>
      <w:numFmt w:val="chineseCountingThousand"/>
      <w:pStyle w:val="3"/>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6"/>
  </w:num>
  <w:num w:numId="2">
    <w:abstractNumId w:val="4"/>
  </w:num>
  <w:num w:numId="3">
    <w:abstractNumId w:val="2"/>
  </w:num>
  <w:num w:numId="4">
    <w:abstractNumId w:val="3"/>
  </w:num>
  <w:num w:numId="5">
    <w:abstractNumId w:val="0"/>
  </w:num>
  <w:num w:numId="6">
    <w:abstractNumId w:val="5"/>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mNmZmE3MzAyNDFlZWY2ZjVhZTNiZTkwMWI5ZmMifQ=="/>
    <w:docVar w:name="KSO_WPS_MARK_KEY" w:val="418d18a6-5f07-4cba-bc13-89b60e09266c"/>
  </w:docVars>
  <w:rsids>
    <w:rsidRoot w:val="26A40C5B"/>
    <w:rsid w:val="00031662"/>
    <w:rsid w:val="0007639D"/>
    <w:rsid w:val="000816E2"/>
    <w:rsid w:val="000B70BD"/>
    <w:rsid w:val="0013192E"/>
    <w:rsid w:val="00153042"/>
    <w:rsid w:val="00180610"/>
    <w:rsid w:val="00246674"/>
    <w:rsid w:val="00286A01"/>
    <w:rsid w:val="003132B9"/>
    <w:rsid w:val="003174E5"/>
    <w:rsid w:val="003469FE"/>
    <w:rsid w:val="00387003"/>
    <w:rsid w:val="003A23F5"/>
    <w:rsid w:val="003B3523"/>
    <w:rsid w:val="003B5A5E"/>
    <w:rsid w:val="004269AB"/>
    <w:rsid w:val="00452577"/>
    <w:rsid w:val="00471E8B"/>
    <w:rsid w:val="00496054"/>
    <w:rsid w:val="004E0B93"/>
    <w:rsid w:val="00555BD7"/>
    <w:rsid w:val="0056421F"/>
    <w:rsid w:val="00586C81"/>
    <w:rsid w:val="005F5F5C"/>
    <w:rsid w:val="006366D2"/>
    <w:rsid w:val="006B32D9"/>
    <w:rsid w:val="006F724E"/>
    <w:rsid w:val="0070467A"/>
    <w:rsid w:val="00706645"/>
    <w:rsid w:val="00710790"/>
    <w:rsid w:val="007471C8"/>
    <w:rsid w:val="00753D35"/>
    <w:rsid w:val="0076400E"/>
    <w:rsid w:val="00885E9D"/>
    <w:rsid w:val="008A1CE3"/>
    <w:rsid w:val="008E020B"/>
    <w:rsid w:val="008E7827"/>
    <w:rsid w:val="00916FB7"/>
    <w:rsid w:val="009C138B"/>
    <w:rsid w:val="009E0706"/>
    <w:rsid w:val="009E52DF"/>
    <w:rsid w:val="009E6561"/>
    <w:rsid w:val="00A23B85"/>
    <w:rsid w:val="00A36C3D"/>
    <w:rsid w:val="00A42C29"/>
    <w:rsid w:val="00A63A45"/>
    <w:rsid w:val="00AE008C"/>
    <w:rsid w:val="00B244FF"/>
    <w:rsid w:val="00B31EA9"/>
    <w:rsid w:val="00B87732"/>
    <w:rsid w:val="00C110B5"/>
    <w:rsid w:val="00C16CF1"/>
    <w:rsid w:val="00C475AB"/>
    <w:rsid w:val="00CB2C97"/>
    <w:rsid w:val="00CF41CB"/>
    <w:rsid w:val="00D772EA"/>
    <w:rsid w:val="00DA31CC"/>
    <w:rsid w:val="00DD3C61"/>
    <w:rsid w:val="00DF6199"/>
    <w:rsid w:val="00E65318"/>
    <w:rsid w:val="00EA70C7"/>
    <w:rsid w:val="00EB7F44"/>
    <w:rsid w:val="00F54733"/>
    <w:rsid w:val="00F64162"/>
    <w:rsid w:val="00FB15C6"/>
    <w:rsid w:val="00FC3455"/>
    <w:rsid w:val="00FD095F"/>
    <w:rsid w:val="022A49B8"/>
    <w:rsid w:val="029863B3"/>
    <w:rsid w:val="02F541A7"/>
    <w:rsid w:val="02F660C5"/>
    <w:rsid w:val="037203C5"/>
    <w:rsid w:val="03D76D0E"/>
    <w:rsid w:val="05561E2E"/>
    <w:rsid w:val="062F3DF0"/>
    <w:rsid w:val="06C61106"/>
    <w:rsid w:val="07025291"/>
    <w:rsid w:val="07930E94"/>
    <w:rsid w:val="07E326DC"/>
    <w:rsid w:val="0ACE444D"/>
    <w:rsid w:val="0C0F44BF"/>
    <w:rsid w:val="11170811"/>
    <w:rsid w:val="11836C81"/>
    <w:rsid w:val="14CF038C"/>
    <w:rsid w:val="164E4CC1"/>
    <w:rsid w:val="164F1DDB"/>
    <w:rsid w:val="166E3278"/>
    <w:rsid w:val="166E3738"/>
    <w:rsid w:val="17836F1E"/>
    <w:rsid w:val="181D494B"/>
    <w:rsid w:val="1A5F12AA"/>
    <w:rsid w:val="1ADC5C4A"/>
    <w:rsid w:val="1BC61960"/>
    <w:rsid w:val="1CC66B46"/>
    <w:rsid w:val="1DFF320A"/>
    <w:rsid w:val="1F4F2651"/>
    <w:rsid w:val="208148D9"/>
    <w:rsid w:val="20AB4B80"/>
    <w:rsid w:val="21492E63"/>
    <w:rsid w:val="22347382"/>
    <w:rsid w:val="22E74317"/>
    <w:rsid w:val="237872A7"/>
    <w:rsid w:val="23EB383E"/>
    <w:rsid w:val="23F71929"/>
    <w:rsid w:val="245B2E8E"/>
    <w:rsid w:val="24AF6EA7"/>
    <w:rsid w:val="25517249"/>
    <w:rsid w:val="266E0E83"/>
    <w:rsid w:val="26A40C5B"/>
    <w:rsid w:val="26A86706"/>
    <w:rsid w:val="26F66833"/>
    <w:rsid w:val="27A85178"/>
    <w:rsid w:val="28444D09"/>
    <w:rsid w:val="28F6721F"/>
    <w:rsid w:val="29712D49"/>
    <w:rsid w:val="2B340871"/>
    <w:rsid w:val="2B3D331B"/>
    <w:rsid w:val="2BE421D1"/>
    <w:rsid w:val="2CC2018F"/>
    <w:rsid w:val="2CEF2FEF"/>
    <w:rsid w:val="2D3525CF"/>
    <w:rsid w:val="2D940F46"/>
    <w:rsid w:val="2DF63BE3"/>
    <w:rsid w:val="31BC0E73"/>
    <w:rsid w:val="33EC41AC"/>
    <w:rsid w:val="344E3F1A"/>
    <w:rsid w:val="35E64DA9"/>
    <w:rsid w:val="36CA095C"/>
    <w:rsid w:val="387B541E"/>
    <w:rsid w:val="39643D30"/>
    <w:rsid w:val="398C5B99"/>
    <w:rsid w:val="3A0D781A"/>
    <w:rsid w:val="3A163778"/>
    <w:rsid w:val="3A3C564E"/>
    <w:rsid w:val="3AD77263"/>
    <w:rsid w:val="3B4007CD"/>
    <w:rsid w:val="3B4717EF"/>
    <w:rsid w:val="3C0A379A"/>
    <w:rsid w:val="3C9445E1"/>
    <w:rsid w:val="3CDE2156"/>
    <w:rsid w:val="3D002AA6"/>
    <w:rsid w:val="3D490368"/>
    <w:rsid w:val="3D606F05"/>
    <w:rsid w:val="3ECD4A31"/>
    <w:rsid w:val="3FA61302"/>
    <w:rsid w:val="406D1DB5"/>
    <w:rsid w:val="40804093"/>
    <w:rsid w:val="41256A55"/>
    <w:rsid w:val="41A2625C"/>
    <w:rsid w:val="43600CC9"/>
    <w:rsid w:val="437266FD"/>
    <w:rsid w:val="456B32BD"/>
    <w:rsid w:val="458E417D"/>
    <w:rsid w:val="47CD0043"/>
    <w:rsid w:val="481F6154"/>
    <w:rsid w:val="48C821A7"/>
    <w:rsid w:val="4A464EF9"/>
    <w:rsid w:val="4BE2172D"/>
    <w:rsid w:val="4CFA1329"/>
    <w:rsid w:val="4D7B697B"/>
    <w:rsid w:val="4E115192"/>
    <w:rsid w:val="4E433AE6"/>
    <w:rsid w:val="4F285398"/>
    <w:rsid w:val="52E35B7C"/>
    <w:rsid w:val="534D0D30"/>
    <w:rsid w:val="53942BF3"/>
    <w:rsid w:val="53B970C0"/>
    <w:rsid w:val="541A79B6"/>
    <w:rsid w:val="5626261E"/>
    <w:rsid w:val="579745CF"/>
    <w:rsid w:val="58D61A7B"/>
    <w:rsid w:val="5A924856"/>
    <w:rsid w:val="5C2E060F"/>
    <w:rsid w:val="5D211D97"/>
    <w:rsid w:val="5E4F22B2"/>
    <w:rsid w:val="5F6B5A41"/>
    <w:rsid w:val="5F8E0C8E"/>
    <w:rsid w:val="60B22AFC"/>
    <w:rsid w:val="62091585"/>
    <w:rsid w:val="62FE0977"/>
    <w:rsid w:val="63857653"/>
    <w:rsid w:val="63F408E4"/>
    <w:rsid w:val="66496A22"/>
    <w:rsid w:val="69B10A54"/>
    <w:rsid w:val="69EF1D2C"/>
    <w:rsid w:val="6A37127C"/>
    <w:rsid w:val="6A6537F6"/>
    <w:rsid w:val="6C6A6FBB"/>
    <w:rsid w:val="6D464F20"/>
    <w:rsid w:val="6D772A28"/>
    <w:rsid w:val="6FEC20A5"/>
    <w:rsid w:val="710F57A2"/>
    <w:rsid w:val="71E85518"/>
    <w:rsid w:val="72706C2F"/>
    <w:rsid w:val="750C7B8E"/>
    <w:rsid w:val="76BE7D40"/>
    <w:rsid w:val="76C042CC"/>
    <w:rsid w:val="76F93003"/>
    <w:rsid w:val="77B43362"/>
    <w:rsid w:val="79CF138F"/>
    <w:rsid w:val="7A0E659D"/>
    <w:rsid w:val="7A7A6384"/>
    <w:rsid w:val="7AEA3ADF"/>
    <w:rsid w:val="7B7D4033"/>
    <w:rsid w:val="7B7D40A6"/>
    <w:rsid w:val="7C226542"/>
    <w:rsid w:val="7CFB6585"/>
    <w:rsid w:val="7D600FB3"/>
    <w:rsid w:val="7E6B1702"/>
    <w:rsid w:val="7E8D588E"/>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一级条标题"/>
    <w:basedOn w:val="6"/>
    <w:next w:val="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styleId="7">
    <w:name w:val="Block Text"/>
    <w:basedOn w:val="1"/>
    <w:qFormat/>
    <w:uiPriority w:val="0"/>
    <w:pPr>
      <w:autoSpaceDE w:val="0"/>
      <w:autoSpaceDN w:val="0"/>
      <w:adjustRightInd w:val="0"/>
      <w:spacing w:line="360" w:lineRule="auto"/>
      <w:ind w:left="256" w:right="6" w:firstLine="624" w:firstLineChars="200"/>
    </w:pPr>
    <w:rPr>
      <w:rFonts w:eastAsia="仿宋_GB2312"/>
      <w:kern w:val="0"/>
      <w:sz w:val="28"/>
      <w:szCs w:val="20"/>
    </w:rPr>
  </w:style>
  <w:style w:type="paragraph" w:styleId="8">
    <w:name w:val="index 4"/>
    <w:basedOn w:val="1"/>
    <w:next w:val="1"/>
    <w:qFormat/>
    <w:uiPriority w:val="0"/>
    <w:pPr>
      <w:ind w:left="600" w:leftChars="600"/>
    </w:p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4"/>
    <w:qFormat/>
    <w:uiPriority w:val="0"/>
    <w:pPr>
      <w:ind w:firstLine="420" w:firstLineChars="100"/>
    </w:pPr>
    <w:rPr>
      <w:rFonts w:eastAsia="仿宋_GB2312"/>
      <w:szCs w:val="20"/>
    </w:rPr>
  </w:style>
  <w:style w:type="character" w:styleId="15">
    <w:name w:val="page number"/>
    <w:qFormat/>
    <w:uiPriority w:val="0"/>
  </w:style>
  <w:style w:type="paragraph" w:customStyle="1" w:styleId="16">
    <w:name w:val="首行缩进"/>
    <w:basedOn w:val="1"/>
    <w:qFormat/>
    <w:uiPriority w:val="0"/>
    <w:pPr>
      <w:widowControl/>
      <w:ind w:firstLine="480" w:firstLineChars="200"/>
      <w:jc w:val="left"/>
    </w:pPr>
    <w:rPr>
      <w:kern w:val="0"/>
      <w:sz w:val="24"/>
      <w:szCs w:val="20"/>
      <w:lang w:val="zh-CN" w:eastAsia="en-US"/>
    </w:rPr>
  </w:style>
  <w:style w:type="paragraph" w:customStyle="1" w:styleId="17">
    <w:name w:val="段"/>
    <w:basedOn w:val="1"/>
    <w:next w:val="1"/>
    <w:qFormat/>
    <w:uiPriority w:val="0"/>
    <w:pPr>
      <w:widowControl/>
      <w:autoSpaceDE w:val="0"/>
      <w:autoSpaceDN w:val="0"/>
      <w:ind w:firstLine="200" w:firstLineChars="200"/>
    </w:pPr>
    <w:rPr>
      <w:rFonts w:hint="eastAsia" w:ascii="宋体"/>
      <w:kern w:val="0"/>
      <w:szCs w:val="20"/>
    </w:rPr>
  </w:style>
  <w:style w:type="paragraph" w:customStyle="1" w:styleId="18">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9">
    <w:name w:val="样式1"/>
    <w:basedOn w:val="1"/>
    <w:qFormat/>
    <w:uiPriority w:val="0"/>
    <w:pPr>
      <w:numPr>
        <w:ilvl w:val="0"/>
        <w:numId w:val="2"/>
      </w:numPr>
      <w:adjustRightInd w:val="0"/>
    </w:pPr>
    <w:rPr>
      <w:rFonts w:ascii="宋体" w:hAnsi="宋体"/>
      <w:kern w:val="0"/>
      <w:szCs w:val="21"/>
    </w:rPr>
  </w:style>
  <w:style w:type="character" w:customStyle="1" w:styleId="20">
    <w:name w:val="font21"/>
    <w:qFormat/>
    <w:uiPriority w:val="0"/>
    <w:rPr>
      <w:rFonts w:hint="eastAsia" w:ascii="宋体" w:hAnsi="宋体" w:eastAsia="宋体" w:cs="宋体"/>
      <w:b/>
      <w:bCs/>
      <w:color w:val="000000"/>
      <w:sz w:val="24"/>
      <w:szCs w:val="24"/>
      <w:u w:val="single"/>
    </w:rPr>
  </w:style>
  <w:style w:type="character" w:customStyle="1" w:styleId="21">
    <w:name w:val="font31"/>
    <w:qFormat/>
    <w:uiPriority w:val="0"/>
    <w:rPr>
      <w:rFonts w:hint="eastAsia" w:ascii="宋体" w:hAnsi="宋体" w:eastAsia="宋体" w:cs="宋体"/>
      <w:b/>
      <w:bCs/>
      <w:color w:val="000000"/>
      <w:sz w:val="24"/>
      <w:szCs w:val="24"/>
      <w:u w:val="none"/>
    </w:rPr>
  </w:style>
  <w:style w:type="paragraph" w:customStyle="1" w:styleId="22">
    <w:name w:val="样式 宋体 五号 两端对齐 行距: 单倍行距"/>
    <w:basedOn w:val="1"/>
    <w:qFormat/>
    <w:uiPriority w:val="0"/>
    <w:pPr>
      <w:adjustRightInd w:val="0"/>
    </w:pPr>
    <w:rPr>
      <w:rFonts w:ascii="宋体" w:hAnsi="宋体"/>
      <w:kern w:val="0"/>
      <w:szCs w:val="20"/>
    </w:rPr>
  </w:style>
  <w:style w:type="paragraph" w:customStyle="1" w:styleId="23">
    <w:name w:val="_Style 83"/>
    <w:basedOn w:val="4"/>
    <w:next w:val="12"/>
    <w:qFormat/>
    <w:uiPriority w:val="0"/>
    <w:pPr>
      <w:ind w:firstLine="420" w:firstLineChars="100"/>
    </w:pPr>
    <w:rPr>
      <w:rFonts w:eastAsia="仿宋_GB2312"/>
      <w:szCs w:val="20"/>
    </w:rPr>
  </w:style>
  <w:style w:type="paragraph" w:customStyle="1" w:styleId="24">
    <w:name w:val="样式 标题 1 + 宋体 居中 段前: 48 磅 段后: 12 磅 行距: 1.5 倍行距"/>
    <w:basedOn w:val="3"/>
    <w:qFormat/>
    <w:uiPriority w:val="0"/>
    <w:pPr>
      <w:spacing w:before="0" w:after="0" w:line="360" w:lineRule="auto"/>
    </w:pPr>
    <w:rPr>
      <w:rFonts w:ascii="宋体" w:hAnsi="宋体" w:cs="宋体"/>
      <w:kern w:val="2"/>
      <w:szCs w:val="32"/>
      <w:lang w:val="zh-CN"/>
    </w:rPr>
  </w:style>
  <w:style w:type="paragraph" w:customStyle="1" w:styleId="25">
    <w:name w:val="Table Paragraph"/>
    <w:basedOn w:val="1"/>
    <w:qFormat/>
    <w:uiPriority w:val="1"/>
    <w:rPr>
      <w:rFonts w:ascii="宋体" w:hAnsi="宋体" w:cs="宋体"/>
      <w:lang w:val="zh-CN" w:bidi="zh-CN"/>
    </w:rPr>
  </w:style>
  <w:style w:type="character" w:customStyle="1" w:styleId="26">
    <w:name w:val="页眉 字符"/>
    <w:basedOn w:val="14"/>
    <w:link w:val="11"/>
    <w:qFormat/>
    <w:uiPriority w:val="0"/>
    <w:rPr>
      <w:kern w:val="2"/>
      <w:sz w:val="18"/>
      <w:szCs w:val="18"/>
    </w:rPr>
  </w:style>
  <w:style w:type="character" w:customStyle="1" w:styleId="27">
    <w:name w:val="批注框文本 字符"/>
    <w:basedOn w:val="14"/>
    <w:link w:val="9"/>
    <w:qFormat/>
    <w:uiPriority w:val="0"/>
    <w:rPr>
      <w:kern w:val="2"/>
      <w:sz w:val="18"/>
      <w:szCs w:val="18"/>
    </w:rPr>
  </w:style>
  <w:style w:type="paragraph" w:customStyle="1" w:styleId="28">
    <w:name w:val="Table caption|1"/>
    <w:basedOn w:val="1"/>
    <w:qFormat/>
    <w:uiPriority w:val="0"/>
    <w:pPr>
      <w:spacing w:after="18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23</Pages>
  <Words>2563</Words>
  <Characters>14611</Characters>
  <Lines>121</Lines>
  <Paragraphs>34</Paragraphs>
  <TotalTime>0</TotalTime>
  <ScaleCrop>false</ScaleCrop>
  <LinksUpToDate>false</LinksUpToDate>
  <CharactersWithSpaces>17140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2022-03-29T07:16:00Z</dcterms:created>
  <dc:creator>admin</dc:creator>
  <cp:lastModifiedBy>白亮宇</cp:lastModifiedBy>
  <cp:lastPrinted>2022-09-23T01:40:00Z</cp:lastPrinted>
  <dcterms:modified xsi:type="dcterms:W3CDTF">2023-07-31T09:09:29Z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7207404312C3438798681497EF99A4C8_13</vt:lpwstr>
  </property>
</Properties>
</file>