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教工餐厅后厨劳务外包服务项目</w:t>
      </w:r>
    </w:p>
    <w:p>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14:shadow w14:blurRad="50800" w14:dist="38100" w14:dir="2700000" w14:sx="100000" w14:sy="100000" w14:kx="0" w14:ky="0" w14:algn="tl">
            <w14:srgbClr w14:val="000000">
              <w14:alpha w14:val="60000"/>
            </w14:srgbClr>
          </w14:shadow>
        </w:rPr>
        <w:t>5F0104）</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5年2月</w:t>
      </w:r>
      <w:r>
        <w:rPr>
          <w:rFonts w:hint="eastAsia" w:ascii="宋体" w:hAnsi="宋体"/>
          <w:sz w:val="32"/>
          <w:lang w:val="en-US" w:eastAsia="zh-CN"/>
          <w14:shadow w14:blurRad="50800" w14:dist="38100" w14:dir="2700000" w14:sx="100000" w14:sy="100000" w14:kx="0" w14:ky="0" w14:algn="tl">
            <w14:srgbClr w14:val="000000">
              <w14:alpha w14:val="60000"/>
            </w14:srgbClr>
          </w14:shadow>
        </w:rPr>
        <w:t>5</w:t>
      </w:r>
      <w:r>
        <w:rPr>
          <w:rFonts w:hint="eastAsia" w:ascii="宋体" w:hAnsi="宋体"/>
          <w:sz w:val="32"/>
          <w14:shadow w14:blurRad="50800" w14:dist="38100" w14:dir="2700000" w14:sx="100000" w14:sy="100000" w14:kx="0" w14:ky="0" w14:algn="tl">
            <w14:srgbClr w14:val="000000">
              <w14:alpha w14:val="60000"/>
            </w14:srgbClr>
          </w14:shadow>
        </w:rPr>
        <w:t>日</w:t>
      </w:r>
    </w:p>
    <w:p>
      <w:pPr>
        <w:pStyle w:val="36"/>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36"/>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37"/>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37"/>
        <w:numPr>
          <w:ilvl w:val="0"/>
          <w:numId w:val="0"/>
        </w:numPr>
        <w:ind w:firstLine="472" w:firstLineChars="196"/>
        <w:rPr>
          <w:b/>
          <w:sz w:val="24"/>
          <w:szCs w:val="24"/>
        </w:rPr>
      </w:pPr>
      <w:r>
        <w:rPr>
          <w:rFonts w:hint="eastAsia"/>
          <w:b/>
          <w:sz w:val="24"/>
          <w:szCs w:val="24"/>
        </w:rPr>
        <w:t>2.磋商文件的澄清</w:t>
      </w:r>
    </w:p>
    <w:p>
      <w:pPr>
        <w:pStyle w:val="37"/>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37"/>
        <w:numPr>
          <w:ilvl w:val="0"/>
          <w:numId w:val="0"/>
        </w:numPr>
        <w:ind w:firstLine="472" w:firstLineChars="196"/>
        <w:rPr>
          <w:b/>
          <w:sz w:val="24"/>
          <w:szCs w:val="24"/>
        </w:rPr>
      </w:pPr>
      <w:r>
        <w:rPr>
          <w:rFonts w:hint="eastAsia"/>
          <w:b/>
          <w:sz w:val="24"/>
          <w:szCs w:val="24"/>
        </w:rPr>
        <w:t>3.磋商文件的修改</w:t>
      </w:r>
    </w:p>
    <w:p>
      <w:pPr>
        <w:pStyle w:val="37"/>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37"/>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37"/>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37"/>
        <w:numPr>
          <w:ilvl w:val="0"/>
          <w:numId w:val="0"/>
        </w:numPr>
        <w:ind w:firstLine="472" w:firstLineChars="196"/>
        <w:rPr>
          <w:b/>
          <w:sz w:val="24"/>
          <w:szCs w:val="24"/>
        </w:rPr>
      </w:pPr>
      <w:r>
        <w:rPr>
          <w:rFonts w:hint="eastAsia"/>
          <w:b/>
          <w:sz w:val="24"/>
          <w:szCs w:val="24"/>
        </w:rPr>
        <w:t>4. 通知</w:t>
      </w:r>
    </w:p>
    <w:p>
      <w:pPr>
        <w:pStyle w:val="37"/>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37"/>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5.1具有独立承担民事责任的能力；</w:t>
      </w:r>
    </w:p>
    <w:p>
      <w:pPr>
        <w:spacing w:line="280" w:lineRule="exact"/>
        <w:ind w:firstLine="480" w:firstLineChars="200"/>
        <w:rPr>
          <w:rFonts w:ascii="宋体" w:hAnsi="宋体"/>
          <w:sz w:val="24"/>
        </w:rPr>
      </w:pPr>
      <w:r>
        <w:rPr>
          <w:rFonts w:hint="eastAsia" w:ascii="宋体" w:hAnsi="宋体"/>
          <w:sz w:val="24"/>
        </w:rPr>
        <w:t>5.2具有良好的商业信誉和健全的财务会计制度；</w:t>
      </w:r>
    </w:p>
    <w:p>
      <w:pPr>
        <w:pStyle w:val="37"/>
        <w:numPr>
          <w:ilvl w:val="0"/>
          <w:numId w:val="0"/>
        </w:numPr>
        <w:ind w:firstLine="480" w:firstLineChars="200"/>
        <w:rPr>
          <w:sz w:val="24"/>
          <w:highlight w:val="yellow"/>
        </w:rPr>
      </w:pPr>
      <w:r>
        <w:rPr>
          <w:rFonts w:hint="eastAsia"/>
          <w:sz w:val="24"/>
        </w:rPr>
        <w:t>5.</w:t>
      </w:r>
      <w:r>
        <w:rPr>
          <w:rFonts w:hint="eastAsia" w:ascii="宋体" w:hAnsi="宋体" w:eastAsia="宋体" w:cs="Times New Roman"/>
          <w:kern w:val="2"/>
          <w:sz w:val="24"/>
          <w:szCs w:val="24"/>
          <w:lang w:val="en-US" w:eastAsia="zh-CN" w:bidi="ar-SA"/>
        </w:rPr>
        <w:t>3具有食品生产许可证或食品经营许可证</w:t>
      </w:r>
      <w:r>
        <w:rPr>
          <w:rFonts w:hint="eastAsia"/>
          <w:sz w:val="24"/>
          <w:szCs w:val="24"/>
        </w:rPr>
        <w:t>；</w:t>
      </w:r>
    </w:p>
    <w:p>
      <w:pPr>
        <w:spacing w:line="280" w:lineRule="exact"/>
        <w:ind w:firstLine="480" w:firstLineChars="200"/>
        <w:rPr>
          <w:rFonts w:ascii="宋体" w:hAnsi="宋体"/>
          <w:sz w:val="24"/>
        </w:rPr>
      </w:pPr>
      <w:r>
        <w:rPr>
          <w:rFonts w:hint="eastAsia" w:ascii="宋体" w:hAnsi="宋体"/>
          <w:sz w:val="24"/>
        </w:rPr>
        <w:t>5.4具有履行合同所必需的专业技术能力；</w:t>
      </w:r>
    </w:p>
    <w:p>
      <w:pPr>
        <w:spacing w:line="280" w:lineRule="exact"/>
        <w:ind w:firstLine="480" w:firstLineChars="200"/>
        <w:rPr>
          <w:rFonts w:ascii="宋体" w:hAnsi="宋体"/>
          <w:sz w:val="24"/>
        </w:rPr>
      </w:pPr>
      <w:r>
        <w:rPr>
          <w:rFonts w:hint="eastAsia" w:ascii="宋体" w:hAnsi="宋体"/>
          <w:sz w:val="24"/>
        </w:rPr>
        <w:t>5.5符合法律、行政法规规定的其他条件；</w:t>
      </w:r>
    </w:p>
    <w:p>
      <w:pPr>
        <w:spacing w:line="280" w:lineRule="exact"/>
        <w:ind w:firstLine="480" w:firstLineChars="200"/>
        <w:rPr>
          <w:rFonts w:ascii="宋体" w:hAnsi="宋体"/>
          <w:sz w:val="24"/>
        </w:rPr>
      </w:pPr>
      <w:r>
        <w:rPr>
          <w:rFonts w:hint="eastAsia" w:ascii="宋体" w:hAnsi="宋体"/>
          <w:sz w:val="24"/>
        </w:rPr>
        <w:t>5.6依法缴纳税收和社会保障资金；</w:t>
      </w:r>
    </w:p>
    <w:p>
      <w:pPr>
        <w:spacing w:line="280" w:lineRule="exact"/>
        <w:ind w:firstLine="480" w:firstLineChars="200"/>
        <w:rPr>
          <w:rFonts w:ascii="宋体" w:hAnsi="宋体"/>
          <w:sz w:val="24"/>
        </w:rPr>
      </w:pPr>
      <w:r>
        <w:rPr>
          <w:rFonts w:hint="eastAsia" w:ascii="宋体" w:hAnsi="宋体"/>
          <w:sz w:val="24"/>
        </w:rPr>
        <w:t>5.7不接受联合体投标；</w:t>
      </w:r>
    </w:p>
    <w:p>
      <w:pPr>
        <w:spacing w:line="280" w:lineRule="exact"/>
        <w:ind w:firstLine="480" w:firstLineChars="200"/>
        <w:rPr>
          <w:rFonts w:ascii="宋体" w:hAnsi="宋体"/>
          <w:sz w:val="24"/>
        </w:rPr>
      </w:pPr>
      <w:r>
        <w:rPr>
          <w:rFonts w:hint="eastAsia" w:ascii="宋体" w:hAnsi="宋体"/>
          <w:sz w:val="24"/>
        </w:rPr>
        <w:t>5.8单位负责人为同一人或者存在控股、管理关系的不同单位不得参加同一项目的投标活动。</w:t>
      </w:r>
    </w:p>
    <w:p>
      <w:pPr>
        <w:widowControl/>
        <w:spacing w:line="280" w:lineRule="exact"/>
        <w:ind w:firstLine="480" w:firstLineChars="200"/>
        <w:jc w:val="left"/>
        <w:rPr>
          <w:rFonts w:ascii="宋体" w:hAnsi="宋体"/>
          <w:sz w:val="24"/>
        </w:rPr>
      </w:pPr>
      <w:r>
        <w:rPr>
          <w:rFonts w:hint="eastAsia" w:ascii="宋体" w:hAnsi="宋体"/>
          <w:sz w:val="24"/>
        </w:rPr>
        <w:t>6.付款方式：无预付款，采购人按月支付中标人劳务</w:t>
      </w:r>
      <w:r>
        <w:rPr>
          <w:rFonts w:hint="eastAsia" w:ascii="宋体" w:hAnsi="宋体"/>
          <w:sz w:val="24"/>
          <w:lang w:val="en-US" w:eastAsia="zh-CN"/>
        </w:rPr>
        <w:t>外包</w:t>
      </w:r>
      <w:r>
        <w:rPr>
          <w:rFonts w:hint="eastAsia" w:ascii="宋体" w:hAnsi="宋体"/>
          <w:sz w:val="24"/>
        </w:rPr>
        <w:t>服务费，每月16日前，支付中标人上月</w:t>
      </w:r>
      <w:r>
        <w:rPr>
          <w:rFonts w:hint="eastAsia" w:ascii="宋体" w:hAnsi="宋体"/>
          <w:sz w:val="24"/>
          <w:lang w:val="en-US" w:eastAsia="zh-CN"/>
        </w:rPr>
        <w:t>费用</w:t>
      </w:r>
      <w:r>
        <w:rPr>
          <w:rFonts w:hint="eastAsia" w:ascii="宋体" w:hAnsi="宋体"/>
          <w:sz w:val="24"/>
        </w:rPr>
        <w:t>。付款前，中标人应提供合规发票。</w:t>
      </w:r>
    </w:p>
    <w:p>
      <w:pPr>
        <w:pStyle w:val="36"/>
        <w:numPr>
          <w:ilvl w:val="0"/>
          <w:numId w:val="0"/>
        </w:numPr>
        <w:spacing w:before="0" w:after="0"/>
        <w:ind w:firstLine="482" w:firstLineChars="200"/>
        <w:jc w:val="left"/>
        <w:outlineLvl w:val="9"/>
        <w:rPr>
          <w:rFonts w:ascii="宋体" w:hAnsi="宋体"/>
          <w:bCs w:val="0"/>
          <w:sz w:val="24"/>
        </w:rPr>
      </w:pPr>
      <w:r>
        <w:rPr>
          <w:rFonts w:hint="eastAsia" w:ascii="宋体" w:hAnsi="宋体"/>
          <w:bCs w:val="0"/>
          <w:sz w:val="24"/>
        </w:rPr>
        <w:t>7.项目</w:t>
      </w:r>
      <w:r>
        <w:rPr>
          <w:rFonts w:hint="eastAsia" w:ascii="宋体" w:hAnsi="宋体"/>
          <w:bCs w:val="0"/>
          <w:sz w:val="24"/>
          <w:lang w:val="en-US" w:eastAsia="zh-CN"/>
        </w:rPr>
        <w:t>控制价</w:t>
      </w:r>
      <w:r>
        <w:rPr>
          <w:rFonts w:hint="eastAsia" w:ascii="宋体" w:hAnsi="宋体"/>
          <w:bCs w:val="0"/>
          <w:sz w:val="24"/>
        </w:rPr>
        <w:t>：</w:t>
      </w:r>
      <w:r>
        <w:rPr>
          <w:rFonts w:hint="eastAsia" w:ascii="宋体" w:hAnsi="宋体"/>
          <w:bCs w:val="0"/>
          <w:sz w:val="24"/>
          <w:szCs w:val="24"/>
        </w:rPr>
        <w:t>不高于人民币42.00万元</w:t>
      </w:r>
      <w:r>
        <w:rPr>
          <w:rFonts w:hint="eastAsia"/>
          <w:sz w:val="24"/>
          <w:szCs w:val="24"/>
        </w:rPr>
        <w:t>/年。</w:t>
      </w:r>
    </w:p>
    <w:p>
      <w:pPr>
        <w:pStyle w:val="36"/>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8.服务周期：</w:t>
      </w:r>
      <w:r>
        <w:rPr>
          <w:rFonts w:hint="eastAsia" w:ascii="宋体" w:hAnsi="宋体"/>
          <w:kern w:val="0"/>
          <w:sz w:val="24"/>
          <w:szCs w:val="24"/>
          <w:lang w:val="en-US" w:eastAsia="zh-CN"/>
        </w:rPr>
        <w:t>合同签订采用1+1模式，首次签合同1年（即2025年2月20日至2026年2月19日），在1年服务期内无服务问题，且无违法、违规、违约和安全责任事故的，中期考核合格后（每年由学院管理部门组织考核），采购人视情况可与中标人续签第二年合同。</w:t>
      </w:r>
      <w:r>
        <w:rPr>
          <w:rFonts w:hint="eastAsia" w:ascii="宋体" w:hAnsi="宋体"/>
          <w:kern w:val="0"/>
          <w:sz w:val="24"/>
          <w:szCs w:val="24"/>
        </w:rPr>
        <w:t xml:space="preserve"> </w:t>
      </w:r>
    </w:p>
    <w:p>
      <w:pPr>
        <w:pStyle w:val="36"/>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9.服务地点：江苏师范大学科文学院教工餐厅（潘安湖校区）</w:t>
      </w:r>
      <w:r>
        <w:rPr>
          <w:rFonts w:hint="eastAsia" w:ascii="宋体" w:hAnsi="宋体"/>
          <w:b w:val="0"/>
          <w:sz w:val="24"/>
        </w:rPr>
        <w:t>。</w:t>
      </w:r>
    </w:p>
    <w:p>
      <w:pPr>
        <w:ind w:firstLine="482" w:firstLineChars="200"/>
        <w:rPr>
          <w:rFonts w:ascii="宋体" w:hAnsi="宋体"/>
          <w:sz w:val="24"/>
        </w:rPr>
      </w:pPr>
      <w:r>
        <w:rPr>
          <w:rFonts w:hint="eastAsia" w:ascii="宋体" w:hAnsi="宋体"/>
          <w:b/>
          <w:bCs/>
          <w:sz w:val="24"/>
        </w:rPr>
        <w:t>10.现场勘查：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按照院方规定和要求并提前一天提供报备资料，费用自理。采购方现场对接联系人</w:t>
      </w:r>
      <w:r>
        <w:rPr>
          <w:rFonts w:hint="eastAsia" w:ascii="宋体" w:hAnsi="宋体"/>
          <w:b/>
          <w:bCs/>
          <w:sz w:val="24"/>
        </w:rPr>
        <w:t>张老师，联系方式15062127296</w:t>
      </w:r>
      <w:r>
        <w:rPr>
          <w:rFonts w:hint="eastAsia" w:ascii="宋体" w:hAnsi="宋体"/>
          <w:sz w:val="24"/>
        </w:rPr>
        <w:t>。</w:t>
      </w:r>
    </w:p>
    <w:p>
      <w:pPr>
        <w:spacing w:line="400" w:lineRule="exact"/>
        <w:ind w:firstLine="482" w:firstLineChars="200"/>
        <w:rPr>
          <w:rFonts w:ascii="宋体" w:hAnsi="宋体"/>
          <w:b/>
          <w:bCs/>
          <w:sz w:val="24"/>
        </w:rPr>
      </w:pPr>
      <w:r>
        <w:rPr>
          <w:rFonts w:hint="eastAsia" w:ascii="宋体" w:hAnsi="宋体"/>
          <w:b/>
          <w:bCs/>
          <w:sz w:val="24"/>
        </w:rPr>
        <w:t>11.履约保证金：人民币3万元。</w:t>
      </w:r>
      <w:r>
        <w:rPr>
          <w:rFonts w:hint="eastAsia" w:ascii="宋体" w:hAnsi="宋体"/>
          <w:b w:val="0"/>
          <w:bCs w:val="0"/>
          <w:sz w:val="24"/>
        </w:rPr>
        <w:t>合</w:t>
      </w:r>
      <w:r>
        <w:rPr>
          <w:rFonts w:hint="eastAsia" w:asciiTheme="minorEastAsia" w:hAnsiTheme="minorEastAsia" w:eastAsiaTheme="minorEastAsia" w:cstheme="minorEastAsia"/>
          <w:b w:val="0"/>
          <w:bCs w:val="0"/>
          <w:sz w:val="24"/>
        </w:rPr>
        <w:t>同期</w:t>
      </w:r>
      <w:r>
        <w:rPr>
          <w:rFonts w:hint="eastAsia" w:asciiTheme="minorEastAsia" w:hAnsiTheme="minorEastAsia" w:eastAsiaTheme="minorEastAsia" w:cstheme="minorEastAsia"/>
          <w:sz w:val="24"/>
        </w:rPr>
        <w:t>满后无服务或违约问题，一次性返还（无息）。</w:t>
      </w:r>
    </w:p>
    <w:p>
      <w:pPr>
        <w:ind w:firstLine="482" w:firstLineChars="200"/>
        <w:rPr>
          <w:rFonts w:ascii="宋体" w:hAnsi="宋体"/>
          <w:b/>
          <w:bCs/>
          <w:sz w:val="24"/>
        </w:rPr>
      </w:pPr>
      <w:r>
        <w:rPr>
          <w:rFonts w:hint="eastAsia" w:ascii="宋体" w:hAnsi="宋体"/>
          <w:b/>
          <w:bCs/>
          <w:sz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37"/>
        <w:numPr>
          <w:ilvl w:val="0"/>
          <w:numId w:val="0"/>
        </w:numPr>
        <w:ind w:firstLine="472" w:firstLineChars="196"/>
        <w:rPr>
          <w:b/>
          <w:sz w:val="24"/>
          <w:szCs w:val="24"/>
        </w:rPr>
      </w:pPr>
      <w:r>
        <w:rPr>
          <w:rFonts w:hint="eastAsia"/>
          <w:b/>
          <w:sz w:val="24"/>
          <w:szCs w:val="24"/>
        </w:rPr>
        <w:t>1. 投标文件的语言和计量单位</w:t>
      </w:r>
    </w:p>
    <w:p>
      <w:pPr>
        <w:pStyle w:val="37"/>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37"/>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37"/>
        <w:numPr>
          <w:ilvl w:val="0"/>
          <w:numId w:val="0"/>
        </w:numPr>
        <w:ind w:firstLine="472" w:firstLineChars="196"/>
        <w:rPr>
          <w:b/>
          <w:sz w:val="24"/>
          <w:szCs w:val="24"/>
        </w:rPr>
      </w:pPr>
      <w:r>
        <w:rPr>
          <w:rFonts w:hint="eastAsia"/>
          <w:b/>
          <w:sz w:val="24"/>
          <w:szCs w:val="24"/>
        </w:rPr>
        <w:t>2投标文件的组成及相关要求</w:t>
      </w:r>
    </w:p>
    <w:p>
      <w:pPr>
        <w:pStyle w:val="37"/>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37"/>
        <w:numPr>
          <w:ilvl w:val="0"/>
          <w:numId w:val="0"/>
        </w:numPr>
        <w:ind w:firstLine="472" w:firstLineChars="196"/>
        <w:rPr>
          <w:b/>
          <w:sz w:val="24"/>
          <w:szCs w:val="24"/>
        </w:rPr>
      </w:pPr>
      <w:r>
        <w:rPr>
          <w:rFonts w:hint="eastAsia"/>
          <w:b/>
          <w:sz w:val="24"/>
          <w:szCs w:val="24"/>
        </w:rPr>
        <w:t>3.投标内容填写说明</w:t>
      </w:r>
    </w:p>
    <w:p>
      <w:pPr>
        <w:pStyle w:val="37"/>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37"/>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37"/>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37"/>
        <w:numPr>
          <w:ilvl w:val="0"/>
          <w:numId w:val="0"/>
        </w:numPr>
        <w:ind w:firstLine="480" w:firstLineChars="200"/>
        <w:rPr>
          <w:sz w:val="24"/>
          <w:szCs w:val="24"/>
        </w:rPr>
      </w:pPr>
      <w:r>
        <w:rPr>
          <w:rFonts w:hint="eastAsia"/>
          <w:sz w:val="24"/>
          <w:szCs w:val="24"/>
        </w:rPr>
        <w:t>本项目投标报价应包括文件规定的招标范围内产生的拟派项目服务人员支出（</w:t>
      </w:r>
      <w:r>
        <w:rPr>
          <w:rFonts w:hint="eastAsia"/>
          <w:sz w:val="24"/>
          <w:szCs w:val="24"/>
          <w:lang w:val="en-US" w:eastAsia="zh-CN"/>
        </w:rPr>
        <w:t>按</w:t>
      </w:r>
      <w:r>
        <w:rPr>
          <w:rFonts w:hint="eastAsia" w:ascii="宋体" w:hAnsi="宋体" w:cs="宋体"/>
          <w:color w:val="000000"/>
          <w:kern w:val="0"/>
          <w:sz w:val="24"/>
        </w:rPr>
        <w:t>投标</w:t>
      </w:r>
      <w:r>
        <w:rPr>
          <w:rFonts w:hint="eastAsia" w:cs="宋体"/>
          <w:color w:val="000000"/>
          <w:kern w:val="0"/>
          <w:sz w:val="24"/>
          <w:lang w:val="en-US" w:eastAsia="zh-CN"/>
        </w:rPr>
        <w:t>文件</w:t>
      </w:r>
      <w:r>
        <w:rPr>
          <w:rFonts w:hint="eastAsia" w:ascii="宋体" w:hAnsi="宋体" w:cs="宋体"/>
          <w:color w:val="000000"/>
          <w:kern w:val="0"/>
          <w:sz w:val="24"/>
        </w:rPr>
        <w:t>的人员配置</w:t>
      </w:r>
      <w:r>
        <w:rPr>
          <w:rFonts w:hint="eastAsia" w:cs="宋体"/>
          <w:color w:val="000000"/>
          <w:kern w:val="0"/>
          <w:sz w:val="24"/>
          <w:lang w:val="en-US" w:eastAsia="zh-CN"/>
        </w:rPr>
        <w:t>数量（不少于6人）</w:t>
      </w:r>
      <w:r>
        <w:rPr>
          <w:rFonts w:hint="eastAsia"/>
          <w:sz w:val="24"/>
          <w:szCs w:val="24"/>
        </w:rPr>
        <w:t>包括但不限于工资、加班费、超时费、社保、意外险</w:t>
      </w:r>
      <w:r>
        <w:rPr>
          <w:rFonts w:hint="eastAsia"/>
          <w:sz w:val="24"/>
          <w:szCs w:val="24"/>
          <w:lang w:eastAsia="zh-CN"/>
        </w:rPr>
        <w:t>、</w:t>
      </w:r>
      <w:r>
        <w:rPr>
          <w:rFonts w:hint="eastAsia"/>
          <w:sz w:val="24"/>
          <w:szCs w:val="24"/>
          <w:lang w:val="en-US" w:eastAsia="zh-CN"/>
        </w:rPr>
        <w:t>健康证办理</w:t>
      </w:r>
      <w:r>
        <w:rPr>
          <w:rFonts w:hint="eastAsia"/>
          <w:sz w:val="24"/>
          <w:szCs w:val="24"/>
        </w:rPr>
        <w:t>等）、设备与人员安排、应急预案、合约期的服务范围与服务项目、投标人的利润、税金和应承担的风险等所有费用。采购人不再支付报价以外的任何费用。</w:t>
      </w:r>
    </w:p>
    <w:p>
      <w:pPr>
        <w:pStyle w:val="37"/>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37"/>
        <w:numPr>
          <w:ilvl w:val="0"/>
          <w:numId w:val="0"/>
        </w:numPr>
        <w:ind w:firstLine="480" w:firstLineChars="200"/>
        <w:rPr>
          <w:sz w:val="24"/>
          <w:szCs w:val="24"/>
        </w:rPr>
      </w:pPr>
      <w:r>
        <w:rPr>
          <w:rFonts w:hint="eastAsia"/>
          <w:sz w:val="24"/>
          <w:szCs w:val="24"/>
        </w:rPr>
        <w:t>3.6</w:t>
      </w:r>
      <w:r>
        <w:rPr>
          <w:rFonts w:hint="eastAsia"/>
          <w:b/>
          <w:color w:val="FF0000"/>
          <w:sz w:val="24"/>
          <w:szCs w:val="24"/>
        </w:rPr>
        <w:t>本项目有二次报价环节，二次报价不得高于一次报价，且二次报价为最终报价</w:t>
      </w:r>
      <w:r>
        <w:rPr>
          <w:rFonts w:hint="eastAsia"/>
          <w:color w:val="FF0000"/>
          <w:sz w:val="24"/>
          <w:szCs w:val="24"/>
        </w:rPr>
        <w:t>。</w:t>
      </w:r>
    </w:p>
    <w:p>
      <w:pPr>
        <w:pStyle w:val="37"/>
        <w:numPr>
          <w:ilvl w:val="0"/>
          <w:numId w:val="0"/>
        </w:numPr>
        <w:ind w:firstLine="472" w:firstLineChars="196"/>
        <w:rPr>
          <w:b/>
          <w:sz w:val="24"/>
          <w:szCs w:val="24"/>
        </w:rPr>
      </w:pPr>
      <w:r>
        <w:rPr>
          <w:rFonts w:hint="eastAsia"/>
          <w:b/>
          <w:sz w:val="24"/>
          <w:szCs w:val="24"/>
        </w:rPr>
        <w:t>4.投标文件的编制</w:t>
      </w:r>
    </w:p>
    <w:p>
      <w:pPr>
        <w:pStyle w:val="37"/>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投标人应按照以下顺序制作投标文件（标书）；投标文件有格式要求的（具体格式见“第四章 投标文件格式”）在制作投标文件时须按照招标文件提供的格式填写，无格式要求的投标人自行编制；混乱的编排以致投标文件被误读或招标人查找不到有效文件，后果由投标人承担。</w:t>
      </w:r>
    </w:p>
    <w:p>
      <w:pPr>
        <w:pStyle w:val="37"/>
        <w:numPr>
          <w:ilvl w:val="0"/>
          <w:numId w:val="4"/>
        </w:numPr>
        <w:rPr>
          <w:kern w:val="2"/>
          <w:sz w:val="24"/>
          <w:szCs w:val="24"/>
        </w:rPr>
      </w:pPr>
      <w:r>
        <w:rPr>
          <w:rFonts w:hint="eastAsia"/>
          <w:kern w:val="2"/>
          <w:sz w:val="24"/>
          <w:szCs w:val="24"/>
        </w:rPr>
        <w:t>资格审查符合性审查材料索引表；</w:t>
      </w:r>
    </w:p>
    <w:p>
      <w:pPr>
        <w:pStyle w:val="37"/>
        <w:numPr>
          <w:ilvl w:val="0"/>
          <w:numId w:val="4"/>
        </w:numPr>
        <w:rPr>
          <w:kern w:val="2"/>
          <w:sz w:val="24"/>
          <w:szCs w:val="24"/>
        </w:rPr>
      </w:pPr>
      <w:r>
        <w:rPr>
          <w:rFonts w:hint="eastAsia"/>
          <w:kern w:val="2"/>
          <w:sz w:val="24"/>
          <w:szCs w:val="24"/>
        </w:rPr>
        <w:t>投标函；</w:t>
      </w:r>
    </w:p>
    <w:p>
      <w:pPr>
        <w:pStyle w:val="37"/>
        <w:numPr>
          <w:ilvl w:val="0"/>
          <w:numId w:val="4"/>
        </w:numPr>
        <w:rPr>
          <w:kern w:val="2"/>
          <w:sz w:val="24"/>
          <w:szCs w:val="24"/>
        </w:rPr>
      </w:pPr>
      <w:r>
        <w:rPr>
          <w:rFonts w:hint="eastAsia"/>
          <w:kern w:val="2"/>
          <w:sz w:val="24"/>
          <w:szCs w:val="24"/>
        </w:rPr>
        <w:t>投标报价一览表；</w:t>
      </w:r>
    </w:p>
    <w:p>
      <w:pPr>
        <w:pStyle w:val="37"/>
        <w:numPr>
          <w:ilvl w:val="0"/>
          <w:numId w:val="4"/>
        </w:numPr>
        <w:rPr>
          <w:kern w:val="2"/>
          <w:sz w:val="24"/>
          <w:szCs w:val="24"/>
        </w:rPr>
      </w:pPr>
      <w:r>
        <w:rPr>
          <w:rFonts w:hint="eastAsia"/>
          <w:kern w:val="2"/>
          <w:sz w:val="24"/>
          <w:szCs w:val="24"/>
        </w:rPr>
        <w:t>法定代表人的授权委托书（原件封于投标文件正本中）；</w:t>
      </w:r>
    </w:p>
    <w:p>
      <w:pPr>
        <w:pStyle w:val="37"/>
        <w:numPr>
          <w:ilvl w:val="0"/>
          <w:numId w:val="4"/>
        </w:numPr>
        <w:rPr>
          <w:sz w:val="24"/>
          <w:szCs w:val="24"/>
        </w:rPr>
      </w:pPr>
      <w:r>
        <w:rPr>
          <w:rFonts w:hint="eastAsia"/>
          <w:sz w:val="24"/>
          <w:szCs w:val="24"/>
        </w:rPr>
        <w:t>承诺书（原件封于投标文件正本中）；</w:t>
      </w:r>
      <w:r>
        <w:rPr>
          <w:sz w:val="24"/>
          <w:szCs w:val="24"/>
        </w:rPr>
        <w:t xml:space="preserve"> </w:t>
      </w:r>
    </w:p>
    <w:p>
      <w:pPr>
        <w:pStyle w:val="37"/>
        <w:numPr>
          <w:ilvl w:val="0"/>
          <w:numId w:val="4"/>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37"/>
        <w:numPr>
          <w:ilvl w:val="0"/>
          <w:numId w:val="4"/>
        </w:numPr>
        <w:rPr>
          <w:kern w:val="2"/>
          <w:sz w:val="24"/>
          <w:szCs w:val="24"/>
        </w:rPr>
      </w:pPr>
      <w:r>
        <w:rPr>
          <w:rFonts w:hint="eastAsia"/>
          <w:kern w:val="2"/>
          <w:sz w:val="24"/>
          <w:szCs w:val="24"/>
        </w:rPr>
        <w:t>投标单位情况介绍（简要说明）；</w:t>
      </w:r>
    </w:p>
    <w:p>
      <w:pPr>
        <w:pStyle w:val="37"/>
        <w:numPr>
          <w:ilvl w:val="0"/>
          <w:numId w:val="4"/>
        </w:numPr>
        <w:rPr>
          <w:color w:val="auto"/>
          <w:kern w:val="2"/>
          <w:sz w:val="24"/>
          <w:szCs w:val="24"/>
        </w:rPr>
      </w:pPr>
      <w:r>
        <w:rPr>
          <w:rFonts w:hint="eastAsia"/>
          <w:kern w:val="2"/>
          <w:sz w:val="24"/>
          <w:szCs w:val="24"/>
        </w:rPr>
        <w:t>企业（单位）营业执照</w:t>
      </w:r>
      <w:r>
        <w:rPr>
          <w:rFonts w:hint="eastAsia"/>
          <w:color w:val="auto"/>
          <w:kern w:val="2"/>
          <w:sz w:val="24"/>
          <w:szCs w:val="24"/>
        </w:rPr>
        <w:t>、食品经营许可证或食品生产许可证复印件；</w:t>
      </w:r>
    </w:p>
    <w:p>
      <w:pPr>
        <w:pStyle w:val="37"/>
        <w:numPr>
          <w:ilvl w:val="0"/>
          <w:numId w:val="4"/>
        </w:numPr>
        <w:rPr>
          <w:kern w:val="2"/>
          <w:sz w:val="24"/>
          <w:szCs w:val="24"/>
        </w:rPr>
      </w:pPr>
      <w:r>
        <w:rPr>
          <w:rFonts w:hint="eastAsia"/>
          <w:kern w:val="2"/>
          <w:sz w:val="24"/>
          <w:szCs w:val="24"/>
        </w:rPr>
        <w:t>具备履行合同所必需的设备和专业技术能力的书面声明（原件封于投标文件正本中）；</w:t>
      </w:r>
    </w:p>
    <w:p>
      <w:pPr>
        <w:numPr>
          <w:ilvl w:val="0"/>
          <w:numId w:val="4"/>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（1）投标人提交首次响应文件时间前6个月内任何1月的资产负债表复印件1份；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spacing w:line="400" w:lineRule="exact"/>
        <w:ind w:firstLine="480" w:firstLineChars="200"/>
        <w:rPr>
          <w:rFonts w:ascii="宋体" w:hAnsi="宋体"/>
          <w:sz w:val="24"/>
        </w:rPr>
      </w:pPr>
      <w:r>
        <w:rPr>
          <w:rFonts w:hint="eastAsia" w:ascii="宋体" w:hAnsi="宋体"/>
          <w:sz w:val="24"/>
        </w:rPr>
        <w:t>本条中（1）、（2）要求的材料无法提供时，可提供有审计资格的第三方出具的投标人上一年度财务审计报告复印件。</w:t>
      </w:r>
    </w:p>
    <w:p>
      <w:pPr>
        <w:pStyle w:val="37"/>
        <w:numPr>
          <w:ilvl w:val="0"/>
          <w:numId w:val="0"/>
        </w:numPr>
        <w:adjustRightInd/>
        <w:spacing w:line="400" w:lineRule="exact"/>
        <w:ind w:firstLine="480" w:firstLineChars="200"/>
        <w:jc w:val="left"/>
        <w:rPr>
          <w:kern w:val="2"/>
          <w:sz w:val="24"/>
          <w:szCs w:val="24"/>
        </w:rPr>
      </w:pPr>
      <w:r>
        <w:rPr>
          <w:rFonts w:hint="eastAsia"/>
          <w:sz w:val="24"/>
          <w:szCs w:val="24"/>
        </w:rPr>
        <w:t>4.11未被“信用中国”网站（www.creditchina.gov.cn）列入失信执行人、重大税收违法案件当事人名单、政府采购严重违法失信行为记录名单，否则投标无效。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37"/>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4.12投标人资格条件中对企业（单位）、项目负责人资质（资格）有要求时须提供相关证书复印件，否则无须提供；</w:t>
      </w:r>
    </w:p>
    <w:p>
      <w:pPr>
        <w:pStyle w:val="37"/>
        <w:numPr>
          <w:ilvl w:val="0"/>
          <w:numId w:val="0"/>
        </w:numPr>
        <w:adjustRightInd/>
        <w:spacing w:line="400" w:lineRule="exact"/>
        <w:ind w:firstLine="480" w:firstLineChars="200"/>
        <w:jc w:val="left"/>
        <w:rPr>
          <w:sz w:val="24"/>
          <w:szCs w:val="24"/>
        </w:rPr>
      </w:pPr>
      <w:r>
        <w:rPr>
          <w:rFonts w:hint="eastAsia"/>
          <w:kern w:val="2"/>
          <w:sz w:val="24"/>
          <w:szCs w:val="24"/>
        </w:rPr>
        <w:t>4.13投标</w:t>
      </w:r>
      <w:r>
        <w:rPr>
          <w:rFonts w:hint="eastAsia"/>
          <w:sz w:val="24"/>
          <w:szCs w:val="24"/>
        </w:rPr>
        <w:t>单位为投标代表缴纳社保证明（提交首次响应文件时间前6个月内任何1月的依法缴纳社保的相关材料复印件）；</w:t>
      </w:r>
    </w:p>
    <w:p>
      <w:pPr>
        <w:pStyle w:val="37"/>
        <w:numPr>
          <w:ilvl w:val="0"/>
          <w:numId w:val="0"/>
        </w:numPr>
        <w:adjustRightInd/>
        <w:spacing w:line="400" w:lineRule="exact"/>
        <w:ind w:firstLine="480" w:firstLineChars="200"/>
        <w:jc w:val="left"/>
        <w:rPr>
          <w:kern w:val="2"/>
          <w:sz w:val="24"/>
          <w:szCs w:val="24"/>
        </w:rPr>
      </w:pPr>
      <w:r>
        <w:rPr>
          <w:rFonts w:hint="eastAsia"/>
          <w:kern w:val="2"/>
          <w:sz w:val="24"/>
          <w:szCs w:val="24"/>
        </w:rPr>
        <w:t>4.14商务和技术偏离表；</w:t>
      </w:r>
    </w:p>
    <w:p>
      <w:pPr>
        <w:pStyle w:val="37"/>
        <w:numPr>
          <w:ilvl w:val="0"/>
          <w:numId w:val="0"/>
        </w:numPr>
        <w:adjustRightInd/>
        <w:spacing w:line="400" w:lineRule="exact"/>
        <w:ind w:firstLine="480" w:firstLineChars="200"/>
        <w:jc w:val="left"/>
        <w:rPr>
          <w:kern w:val="2"/>
          <w:sz w:val="24"/>
          <w:szCs w:val="24"/>
        </w:rPr>
      </w:pPr>
      <w:r>
        <w:rPr>
          <w:rFonts w:hint="eastAsia"/>
          <w:kern w:val="2"/>
          <w:sz w:val="24"/>
          <w:szCs w:val="24"/>
        </w:rPr>
        <w:t>4.15投标人业绩一览表及业绩复印件（</w:t>
      </w:r>
      <w:r>
        <w:rPr>
          <w:rFonts w:hint="eastAsia"/>
          <w:b/>
          <w:bCs/>
          <w:kern w:val="2"/>
          <w:sz w:val="24"/>
          <w:szCs w:val="24"/>
        </w:rPr>
        <w:t>投标时须带业绩合同原件</w:t>
      </w:r>
      <w:r>
        <w:rPr>
          <w:rFonts w:hint="eastAsia"/>
          <w:kern w:val="2"/>
          <w:sz w:val="24"/>
          <w:szCs w:val="24"/>
        </w:rPr>
        <w:t>）；</w:t>
      </w:r>
    </w:p>
    <w:p>
      <w:pPr>
        <w:pStyle w:val="37"/>
        <w:numPr>
          <w:ilvl w:val="0"/>
          <w:numId w:val="0"/>
        </w:numPr>
        <w:adjustRightInd/>
        <w:spacing w:line="400" w:lineRule="exact"/>
        <w:ind w:firstLine="480" w:firstLineChars="200"/>
        <w:jc w:val="left"/>
        <w:rPr>
          <w:sz w:val="24"/>
          <w:szCs w:val="24"/>
        </w:rPr>
      </w:pPr>
      <w:r>
        <w:rPr>
          <w:rFonts w:hint="eastAsia"/>
          <w:sz w:val="24"/>
          <w:szCs w:val="24"/>
        </w:rPr>
        <w:t>4.16服务方案（包括但不限于服务内容与流程、提供优质服务实施方案、食品质量监控方案、投诉处理与争议协商等）；</w:t>
      </w:r>
    </w:p>
    <w:p>
      <w:pPr>
        <w:pStyle w:val="37"/>
        <w:numPr>
          <w:ilvl w:val="0"/>
          <w:numId w:val="0"/>
        </w:numPr>
        <w:adjustRightInd/>
        <w:spacing w:line="400" w:lineRule="exact"/>
        <w:ind w:firstLine="480" w:firstLineChars="200"/>
        <w:jc w:val="left"/>
        <w:rPr>
          <w:sz w:val="24"/>
          <w:szCs w:val="24"/>
        </w:rPr>
      </w:pPr>
      <w:r>
        <w:rPr>
          <w:rFonts w:hint="eastAsia"/>
          <w:sz w:val="24"/>
          <w:szCs w:val="24"/>
        </w:rPr>
        <w:t>4.17食品卫生安全管理方案（包括但不限于日常管理、应急处置方案、食品安全责任体系等）；</w:t>
      </w:r>
    </w:p>
    <w:p>
      <w:pPr>
        <w:pStyle w:val="37"/>
        <w:numPr>
          <w:ilvl w:val="0"/>
          <w:numId w:val="0"/>
        </w:numPr>
        <w:adjustRightInd/>
        <w:spacing w:line="400" w:lineRule="exact"/>
        <w:ind w:firstLine="480" w:firstLineChars="200"/>
        <w:jc w:val="left"/>
        <w:rPr>
          <w:sz w:val="24"/>
          <w:szCs w:val="24"/>
        </w:rPr>
      </w:pPr>
      <w:r>
        <w:rPr>
          <w:rFonts w:hint="eastAsia"/>
          <w:sz w:val="24"/>
          <w:szCs w:val="24"/>
        </w:rPr>
        <w:t>4.18人员配置与保障措施（对拟配置人员情况介绍（包括但不限于厨师认证资格、健康状况、工作经历、有无犯罪记录等）和针对项目开展的人员培训方案）；</w:t>
      </w:r>
    </w:p>
    <w:p>
      <w:pPr>
        <w:pStyle w:val="37"/>
        <w:numPr>
          <w:ilvl w:val="0"/>
          <w:numId w:val="0"/>
        </w:numPr>
        <w:adjustRightInd/>
        <w:spacing w:line="400" w:lineRule="exact"/>
        <w:ind w:firstLine="480" w:firstLineChars="200"/>
        <w:jc w:val="left"/>
        <w:rPr>
          <w:sz w:val="24"/>
          <w:szCs w:val="24"/>
        </w:rPr>
      </w:pPr>
      <w:r>
        <w:rPr>
          <w:rFonts w:hint="eastAsia"/>
          <w:sz w:val="24"/>
          <w:szCs w:val="24"/>
        </w:rPr>
        <w:t>4.19特色与创新（提供项目运营特色和创新发展的合理化建议）；</w:t>
      </w:r>
    </w:p>
    <w:p>
      <w:pPr>
        <w:pStyle w:val="37"/>
        <w:numPr>
          <w:ilvl w:val="0"/>
          <w:numId w:val="0"/>
        </w:numPr>
        <w:adjustRightInd/>
        <w:spacing w:line="400" w:lineRule="exact"/>
        <w:ind w:firstLine="480" w:firstLineChars="200"/>
        <w:jc w:val="left"/>
        <w:rPr>
          <w:sz w:val="24"/>
          <w:szCs w:val="24"/>
        </w:rPr>
      </w:pPr>
      <w:r>
        <w:rPr>
          <w:rFonts w:hint="eastAsia"/>
          <w:sz w:val="24"/>
          <w:szCs w:val="24"/>
        </w:rPr>
        <w:t>4.20磋商文件中要求提交的和投标人认为需要提供的其它说明和资料。</w:t>
      </w:r>
    </w:p>
    <w:p>
      <w:pPr>
        <w:pStyle w:val="37"/>
        <w:numPr>
          <w:ilvl w:val="0"/>
          <w:numId w:val="0"/>
        </w:numPr>
        <w:spacing w:line="400" w:lineRule="exact"/>
        <w:ind w:firstLine="472" w:firstLineChars="196"/>
        <w:rPr>
          <w:b/>
          <w:sz w:val="24"/>
          <w:szCs w:val="24"/>
        </w:rPr>
      </w:pPr>
      <w:r>
        <w:rPr>
          <w:rFonts w:hint="eastAsia"/>
          <w:b/>
          <w:sz w:val="24"/>
          <w:szCs w:val="24"/>
        </w:rPr>
        <w:t>5.投标要求</w:t>
      </w:r>
    </w:p>
    <w:p>
      <w:pPr>
        <w:pStyle w:val="37"/>
        <w:numPr>
          <w:ilvl w:val="0"/>
          <w:numId w:val="0"/>
        </w:numPr>
        <w:spacing w:line="400" w:lineRule="exact"/>
        <w:ind w:firstLine="480" w:firstLineChars="200"/>
        <w:rPr>
          <w:kern w:val="2"/>
          <w:sz w:val="24"/>
          <w:szCs w:val="24"/>
        </w:rPr>
      </w:pPr>
      <w:r>
        <w:rPr>
          <w:rFonts w:hint="eastAsia"/>
          <w:kern w:val="2"/>
          <w:sz w:val="24"/>
          <w:szCs w:val="24"/>
        </w:rPr>
        <w:t>5.1所有投标均以人民币“元”为计算单位。</w:t>
      </w:r>
    </w:p>
    <w:p>
      <w:pPr>
        <w:pStyle w:val="37"/>
        <w:numPr>
          <w:ilvl w:val="0"/>
          <w:numId w:val="0"/>
        </w:numPr>
        <w:spacing w:line="400" w:lineRule="exact"/>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37"/>
        <w:numPr>
          <w:ilvl w:val="0"/>
          <w:numId w:val="0"/>
        </w:numPr>
        <w:spacing w:line="400" w:lineRule="exact"/>
        <w:ind w:firstLine="480" w:firstLineChars="200"/>
        <w:rPr>
          <w:kern w:val="2"/>
          <w:sz w:val="24"/>
          <w:szCs w:val="24"/>
        </w:rPr>
      </w:pPr>
      <w:r>
        <w:rPr>
          <w:rFonts w:hint="eastAsia"/>
          <w:kern w:val="2"/>
          <w:sz w:val="24"/>
          <w:szCs w:val="24"/>
        </w:rPr>
        <w:t>5.3采购人不接受不明确的投标方案和投标。</w:t>
      </w:r>
    </w:p>
    <w:p>
      <w:pPr>
        <w:pStyle w:val="37"/>
        <w:numPr>
          <w:ilvl w:val="0"/>
          <w:numId w:val="0"/>
        </w:numPr>
        <w:spacing w:line="400" w:lineRule="exact"/>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37"/>
        <w:numPr>
          <w:ilvl w:val="0"/>
          <w:numId w:val="0"/>
        </w:numPr>
        <w:spacing w:line="400" w:lineRule="exact"/>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37"/>
        <w:numPr>
          <w:ilvl w:val="0"/>
          <w:numId w:val="0"/>
        </w:numPr>
        <w:spacing w:line="400" w:lineRule="exact"/>
        <w:ind w:firstLine="482" w:firstLineChars="200"/>
        <w:rPr>
          <w:b/>
          <w:sz w:val="24"/>
          <w:szCs w:val="24"/>
        </w:rPr>
      </w:pPr>
      <w:r>
        <w:rPr>
          <w:rFonts w:hint="eastAsia"/>
          <w:b/>
          <w:sz w:val="24"/>
          <w:szCs w:val="24"/>
        </w:rPr>
        <w:t>6.投标保证金及标书费</w:t>
      </w:r>
    </w:p>
    <w:p>
      <w:pPr>
        <w:pStyle w:val="37"/>
        <w:numPr>
          <w:ilvl w:val="0"/>
          <w:numId w:val="0"/>
        </w:numPr>
        <w:spacing w:line="400" w:lineRule="exact"/>
        <w:ind w:firstLine="360" w:firstLineChars="150"/>
        <w:rPr>
          <w:kern w:val="2"/>
          <w:sz w:val="24"/>
          <w:szCs w:val="24"/>
        </w:rPr>
      </w:pPr>
      <w:r>
        <w:rPr>
          <w:rFonts w:hint="eastAsia"/>
          <w:kern w:val="2"/>
          <w:sz w:val="24"/>
          <w:szCs w:val="24"/>
        </w:rPr>
        <w:t xml:space="preserve"> 6.1本项目不收取投标保证金。</w:t>
      </w:r>
    </w:p>
    <w:p>
      <w:pPr>
        <w:pStyle w:val="37"/>
        <w:numPr>
          <w:ilvl w:val="0"/>
          <w:numId w:val="0"/>
        </w:numPr>
        <w:spacing w:line="400" w:lineRule="exact"/>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pPr>
        <w:pStyle w:val="37"/>
        <w:numPr>
          <w:ilvl w:val="0"/>
          <w:numId w:val="0"/>
        </w:numPr>
        <w:spacing w:line="400" w:lineRule="exact"/>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37"/>
        <w:numPr>
          <w:ilvl w:val="0"/>
          <w:numId w:val="0"/>
        </w:numPr>
        <w:spacing w:line="400" w:lineRule="exact"/>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37"/>
        <w:numPr>
          <w:ilvl w:val="0"/>
          <w:numId w:val="0"/>
        </w:numPr>
        <w:spacing w:line="400" w:lineRule="exact"/>
        <w:ind w:firstLine="240" w:firstLineChars="100"/>
        <w:rPr>
          <w:b/>
          <w:sz w:val="24"/>
          <w:szCs w:val="24"/>
        </w:rPr>
      </w:pPr>
      <w:r>
        <w:rPr>
          <w:rFonts w:hint="eastAsia"/>
          <w:sz w:val="24"/>
          <w:szCs w:val="24"/>
        </w:rPr>
        <w:t xml:space="preserve"> </w:t>
      </w:r>
      <w:r>
        <w:rPr>
          <w:rFonts w:hint="eastAsia"/>
          <w:b/>
          <w:sz w:val="24"/>
          <w:szCs w:val="24"/>
        </w:rPr>
        <w:t xml:space="preserve">  8.投标文件的签署及其他规定</w:t>
      </w:r>
    </w:p>
    <w:p>
      <w:pPr>
        <w:pStyle w:val="37"/>
        <w:numPr>
          <w:ilvl w:val="0"/>
          <w:numId w:val="0"/>
        </w:numPr>
        <w:spacing w:line="400" w:lineRule="exact"/>
        <w:ind w:firstLine="240" w:firstLineChars="100"/>
        <w:rPr>
          <w:sz w:val="24"/>
          <w:szCs w:val="24"/>
        </w:rPr>
      </w:pPr>
      <w:r>
        <w:rPr>
          <w:rFonts w:hint="eastAsia"/>
          <w:sz w:val="24"/>
          <w:szCs w:val="24"/>
        </w:rPr>
        <w:t xml:space="preserve">  8.1 组成投标文件的各项文件均应遵守本条。</w:t>
      </w:r>
    </w:p>
    <w:p>
      <w:pPr>
        <w:pStyle w:val="37"/>
        <w:numPr>
          <w:ilvl w:val="0"/>
          <w:numId w:val="0"/>
        </w:numPr>
        <w:spacing w:line="400" w:lineRule="exact"/>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37"/>
        <w:numPr>
          <w:ilvl w:val="0"/>
          <w:numId w:val="0"/>
        </w:numPr>
        <w:spacing w:line="400" w:lineRule="exact"/>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37"/>
        <w:numPr>
          <w:ilvl w:val="0"/>
          <w:numId w:val="0"/>
        </w:numPr>
        <w:spacing w:line="400" w:lineRule="exact"/>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37"/>
        <w:numPr>
          <w:ilvl w:val="0"/>
          <w:numId w:val="0"/>
        </w:numPr>
        <w:spacing w:line="400" w:lineRule="exact"/>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37"/>
        <w:numPr>
          <w:ilvl w:val="0"/>
          <w:numId w:val="0"/>
        </w:numPr>
        <w:spacing w:line="400" w:lineRule="exact"/>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37"/>
        <w:numPr>
          <w:ilvl w:val="0"/>
          <w:numId w:val="0"/>
        </w:numPr>
        <w:spacing w:line="400" w:lineRule="exact"/>
        <w:ind w:firstLine="240" w:firstLineChars="100"/>
        <w:rPr>
          <w:sz w:val="24"/>
          <w:szCs w:val="24"/>
        </w:rPr>
      </w:pPr>
      <w:r>
        <w:rPr>
          <w:rFonts w:hint="eastAsia"/>
          <w:sz w:val="24"/>
          <w:szCs w:val="24"/>
        </w:rPr>
        <w:t xml:space="preserve">  8.7因投标文件字迹潦草或表达不清所引起的不利后果由投标人承担。</w:t>
      </w:r>
    </w:p>
    <w:p>
      <w:pPr>
        <w:pStyle w:val="36"/>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37"/>
        <w:numPr>
          <w:ilvl w:val="0"/>
          <w:numId w:val="0"/>
        </w:numPr>
        <w:tabs>
          <w:tab w:val="left" w:pos="480"/>
        </w:tabs>
        <w:spacing w:line="400" w:lineRule="exact"/>
        <w:ind w:firstLine="482" w:firstLineChars="200"/>
        <w:rPr>
          <w:b/>
          <w:sz w:val="24"/>
          <w:szCs w:val="24"/>
        </w:rPr>
      </w:pPr>
      <w:r>
        <w:rPr>
          <w:rFonts w:hint="eastAsia"/>
          <w:b/>
          <w:sz w:val="24"/>
          <w:szCs w:val="24"/>
        </w:rPr>
        <w:t>1.投标文件的密封及标记</w:t>
      </w:r>
    </w:p>
    <w:p>
      <w:pPr>
        <w:pStyle w:val="37"/>
        <w:numPr>
          <w:ilvl w:val="0"/>
          <w:numId w:val="0"/>
        </w:numPr>
        <w:tabs>
          <w:tab w:val="left" w:pos="0"/>
        </w:tabs>
        <w:spacing w:line="400" w:lineRule="exact"/>
        <w:ind w:firstLine="480" w:firstLineChars="200"/>
        <w:rPr>
          <w:sz w:val="24"/>
          <w:szCs w:val="24"/>
        </w:rPr>
      </w:pPr>
      <w:r>
        <w:rPr>
          <w:rFonts w:hint="eastAsia"/>
          <w:sz w:val="24"/>
          <w:szCs w:val="24"/>
        </w:rPr>
        <w:t>1.1投标文件应按以下方法分别装袋密封：</w:t>
      </w:r>
    </w:p>
    <w:p>
      <w:pPr>
        <w:spacing w:line="400" w:lineRule="exact"/>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spacing w:line="400" w:lineRule="exact"/>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37"/>
        <w:numPr>
          <w:ilvl w:val="0"/>
          <w:numId w:val="0"/>
        </w:numPr>
        <w:tabs>
          <w:tab w:val="left" w:pos="480"/>
        </w:tabs>
        <w:spacing w:line="400" w:lineRule="exact"/>
        <w:ind w:firstLine="482" w:firstLineChars="200"/>
        <w:rPr>
          <w:b/>
          <w:sz w:val="24"/>
          <w:szCs w:val="24"/>
        </w:rPr>
      </w:pPr>
      <w:r>
        <w:rPr>
          <w:rFonts w:hint="eastAsia"/>
          <w:b/>
          <w:sz w:val="24"/>
          <w:szCs w:val="24"/>
        </w:rPr>
        <w:t>2.投标截止时间</w:t>
      </w:r>
    </w:p>
    <w:p>
      <w:pPr>
        <w:spacing w:line="400" w:lineRule="exact"/>
        <w:ind w:firstLine="480" w:firstLineChars="200"/>
        <w:rPr>
          <w:rFonts w:ascii="宋体" w:hAnsi="宋体"/>
          <w:sz w:val="24"/>
        </w:rPr>
      </w:pPr>
      <w:r>
        <w:rPr>
          <w:rFonts w:hint="eastAsia" w:ascii="宋体" w:hAnsi="宋体"/>
          <w:sz w:val="24"/>
        </w:rPr>
        <w:t>2.1投标文件须按照磋商文件或磋商公告规定的时间、地点送达。</w:t>
      </w:r>
    </w:p>
    <w:p>
      <w:pPr>
        <w:spacing w:line="400" w:lineRule="exact"/>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spacing w:line="400" w:lineRule="exact"/>
        <w:ind w:firstLine="480" w:firstLineChars="200"/>
        <w:rPr>
          <w:rFonts w:ascii="宋体" w:hAnsi="宋体"/>
          <w:sz w:val="24"/>
        </w:rPr>
      </w:pPr>
      <w:r>
        <w:rPr>
          <w:rFonts w:hint="eastAsia" w:ascii="宋体" w:hAnsi="宋体"/>
          <w:sz w:val="24"/>
        </w:rPr>
        <w:t>2.3拒绝接收在提交投标文件截止时间以后送达的投标文件。</w:t>
      </w:r>
    </w:p>
    <w:p>
      <w:pPr>
        <w:pStyle w:val="37"/>
        <w:numPr>
          <w:ilvl w:val="0"/>
          <w:numId w:val="0"/>
        </w:numPr>
        <w:tabs>
          <w:tab w:val="left" w:pos="480"/>
        </w:tabs>
        <w:spacing w:line="400" w:lineRule="exact"/>
        <w:ind w:firstLine="482" w:firstLineChars="200"/>
        <w:rPr>
          <w:b/>
          <w:sz w:val="24"/>
          <w:szCs w:val="24"/>
        </w:rPr>
      </w:pPr>
      <w:r>
        <w:rPr>
          <w:rFonts w:hint="eastAsia"/>
          <w:b/>
          <w:sz w:val="24"/>
          <w:szCs w:val="24"/>
        </w:rPr>
        <w:t>3.投标文件的修改和撤回</w:t>
      </w:r>
    </w:p>
    <w:p>
      <w:pPr>
        <w:spacing w:line="400" w:lineRule="exact"/>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spacing w:line="400" w:lineRule="exact"/>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spacing w:line="400" w:lineRule="exact"/>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36"/>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四、开标评标</w:t>
      </w:r>
    </w:p>
    <w:p>
      <w:pPr>
        <w:pStyle w:val="37"/>
        <w:numPr>
          <w:ilvl w:val="0"/>
          <w:numId w:val="0"/>
        </w:numPr>
        <w:spacing w:line="400" w:lineRule="exact"/>
        <w:ind w:firstLine="482" w:firstLineChars="200"/>
        <w:rPr>
          <w:b/>
          <w:sz w:val="24"/>
          <w:szCs w:val="24"/>
        </w:rPr>
      </w:pPr>
      <w:r>
        <w:rPr>
          <w:rFonts w:hint="eastAsia"/>
          <w:b/>
          <w:sz w:val="24"/>
          <w:szCs w:val="24"/>
        </w:rPr>
        <w:t>1.评标原则</w:t>
      </w:r>
    </w:p>
    <w:p>
      <w:pPr>
        <w:spacing w:line="400" w:lineRule="exact"/>
        <w:ind w:firstLine="480" w:firstLineChars="200"/>
        <w:rPr>
          <w:rFonts w:ascii="宋体" w:hAnsi="宋体"/>
          <w:sz w:val="24"/>
        </w:rPr>
      </w:pPr>
      <w:r>
        <w:rPr>
          <w:rFonts w:hint="eastAsia" w:ascii="宋体" w:hAnsi="宋体"/>
          <w:sz w:val="24"/>
        </w:rPr>
        <w:t>1.1投标人资格与资质条件是否符合磋商文件的要求；</w:t>
      </w:r>
    </w:p>
    <w:p>
      <w:pPr>
        <w:spacing w:line="400" w:lineRule="exact"/>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spacing w:line="400" w:lineRule="exact"/>
        <w:ind w:firstLine="480" w:firstLineChars="200"/>
        <w:rPr>
          <w:rFonts w:ascii="宋体" w:hAnsi="宋体"/>
          <w:sz w:val="24"/>
        </w:rPr>
      </w:pPr>
      <w:r>
        <w:rPr>
          <w:rFonts w:hint="eastAsia" w:ascii="宋体" w:hAnsi="宋体"/>
          <w:sz w:val="24"/>
        </w:rPr>
        <w:t>1.3投标人的技术文件是否合理可行；</w:t>
      </w:r>
    </w:p>
    <w:p>
      <w:pPr>
        <w:spacing w:line="400" w:lineRule="exact"/>
        <w:ind w:firstLine="480" w:firstLineChars="200"/>
        <w:rPr>
          <w:rFonts w:ascii="宋体" w:hAnsi="宋体"/>
          <w:sz w:val="24"/>
        </w:rPr>
      </w:pPr>
      <w:r>
        <w:rPr>
          <w:rFonts w:hint="eastAsia" w:ascii="宋体" w:hAnsi="宋体"/>
          <w:sz w:val="24"/>
        </w:rPr>
        <w:t>1.4投标人是否具备良好的经营状况和履行本项目的能力。</w:t>
      </w:r>
    </w:p>
    <w:p>
      <w:pPr>
        <w:pStyle w:val="37"/>
        <w:numPr>
          <w:ilvl w:val="0"/>
          <w:numId w:val="0"/>
        </w:numPr>
        <w:spacing w:line="400" w:lineRule="exact"/>
        <w:ind w:firstLine="482" w:firstLineChars="200"/>
        <w:rPr>
          <w:b/>
          <w:sz w:val="24"/>
          <w:szCs w:val="24"/>
        </w:rPr>
      </w:pPr>
      <w:r>
        <w:rPr>
          <w:rFonts w:hint="eastAsia"/>
          <w:b/>
          <w:sz w:val="24"/>
          <w:szCs w:val="24"/>
        </w:rPr>
        <w:t>2.开标</w:t>
      </w:r>
    </w:p>
    <w:p>
      <w:pPr>
        <w:pStyle w:val="37"/>
        <w:numPr>
          <w:ilvl w:val="0"/>
          <w:numId w:val="0"/>
        </w:numPr>
        <w:tabs>
          <w:tab w:val="left" w:pos="420"/>
        </w:tabs>
        <w:spacing w:line="400" w:lineRule="exact"/>
        <w:ind w:firstLine="482" w:firstLineChars="200"/>
        <w:rPr>
          <w:b/>
          <w:sz w:val="24"/>
          <w:szCs w:val="24"/>
        </w:rPr>
      </w:pPr>
      <w:r>
        <w:rPr>
          <w:rFonts w:hint="eastAsia"/>
          <w:b/>
          <w:sz w:val="24"/>
          <w:szCs w:val="24"/>
        </w:rPr>
        <w:t>3.磋商</w:t>
      </w:r>
    </w:p>
    <w:p>
      <w:pPr>
        <w:spacing w:line="400" w:lineRule="exact"/>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37"/>
        <w:numPr>
          <w:ilvl w:val="0"/>
          <w:numId w:val="0"/>
        </w:numPr>
        <w:tabs>
          <w:tab w:val="left" w:pos="420"/>
        </w:tabs>
        <w:spacing w:line="400" w:lineRule="exact"/>
        <w:ind w:firstLine="482" w:firstLineChars="200"/>
        <w:rPr>
          <w:b/>
          <w:sz w:val="24"/>
          <w:szCs w:val="24"/>
        </w:rPr>
      </w:pPr>
      <w:r>
        <w:rPr>
          <w:rFonts w:hint="eastAsia"/>
          <w:b/>
          <w:sz w:val="24"/>
          <w:szCs w:val="24"/>
        </w:rPr>
        <w:t>4.评标</w:t>
      </w:r>
    </w:p>
    <w:p>
      <w:pPr>
        <w:spacing w:line="400" w:lineRule="exact"/>
        <w:ind w:firstLine="480" w:firstLineChars="200"/>
        <w:jc w:val="left"/>
        <w:rPr>
          <w:rFonts w:ascii="宋体" w:hAnsi="宋体"/>
          <w:sz w:val="24"/>
        </w:rPr>
      </w:pPr>
      <w:r>
        <w:rPr>
          <w:rFonts w:hint="eastAsia" w:ascii="宋体" w:hAnsi="宋体"/>
          <w:sz w:val="24"/>
        </w:rPr>
        <w:t>由我院集中采购中心负责组建的评标小组本着公平、公正的原则，采用综合评分法评标。</w:t>
      </w:r>
    </w:p>
    <w:p>
      <w:pPr>
        <w:spacing w:line="400" w:lineRule="exact"/>
        <w:ind w:firstLine="480" w:firstLineChars="200"/>
        <w:rPr>
          <w:rFonts w:ascii="宋体" w:hAnsi="宋体"/>
          <w:sz w:val="24"/>
        </w:rPr>
      </w:pPr>
      <w:r>
        <w:rPr>
          <w:rFonts w:hint="eastAsia" w:ascii="宋体" w:hAnsi="宋体"/>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spacing w:line="400" w:lineRule="exact"/>
        <w:ind w:firstLine="480" w:firstLineChars="200"/>
        <w:rPr>
          <w:rFonts w:ascii="宋体" w:hAnsi="宋体"/>
          <w:sz w:val="24"/>
        </w:rPr>
      </w:pPr>
      <w:r>
        <w:rPr>
          <w:rFonts w:hint="eastAsia" w:ascii="宋体" w:hAnsi="宋体"/>
          <w:sz w:val="24"/>
        </w:rPr>
        <w:t>4.2为有助于对投标文件的审查、评价和比较，评标小组有权要求投标人对投标文件中含义不明确的内容作必要的澄清或说明，有关澄清或说明的内容应以书面形式提交。</w:t>
      </w:r>
    </w:p>
    <w:p>
      <w:pPr>
        <w:spacing w:line="400" w:lineRule="exact"/>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36"/>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五、授予合同</w:t>
      </w:r>
    </w:p>
    <w:p>
      <w:pPr>
        <w:spacing w:line="400" w:lineRule="exact"/>
        <w:ind w:firstLine="482" w:firstLineChars="200"/>
        <w:rPr>
          <w:rFonts w:ascii="宋体" w:hAnsi="宋体"/>
          <w:sz w:val="24"/>
        </w:rPr>
      </w:pPr>
      <w:r>
        <w:rPr>
          <w:rFonts w:hint="eastAsia" w:ascii="宋体" w:hAnsi="宋体"/>
          <w:b/>
          <w:sz w:val="24"/>
        </w:rPr>
        <w:t>1.授予合同的顺序</w:t>
      </w:r>
    </w:p>
    <w:p>
      <w:pPr>
        <w:spacing w:line="400" w:lineRule="exact"/>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或另行采购。</w:t>
      </w:r>
    </w:p>
    <w:p>
      <w:pPr>
        <w:pStyle w:val="37"/>
        <w:numPr>
          <w:ilvl w:val="0"/>
          <w:numId w:val="0"/>
        </w:numPr>
        <w:spacing w:line="380" w:lineRule="exact"/>
        <w:ind w:firstLine="482" w:firstLineChars="200"/>
        <w:rPr>
          <w:b/>
          <w:sz w:val="24"/>
          <w:szCs w:val="24"/>
        </w:rPr>
      </w:pPr>
      <w:r>
        <w:rPr>
          <w:rFonts w:hint="eastAsia"/>
          <w:b/>
          <w:sz w:val="24"/>
          <w:szCs w:val="24"/>
        </w:rPr>
        <w:t>2.采购人拒绝投标的权利</w:t>
      </w:r>
    </w:p>
    <w:p>
      <w:pPr>
        <w:pStyle w:val="37"/>
        <w:numPr>
          <w:ilvl w:val="0"/>
          <w:numId w:val="0"/>
        </w:numPr>
        <w:spacing w:line="380" w:lineRule="exact"/>
        <w:ind w:firstLine="480" w:firstLineChars="200"/>
        <w:rPr>
          <w:sz w:val="24"/>
          <w:szCs w:val="24"/>
        </w:rPr>
      </w:pPr>
      <w:r>
        <w:rPr>
          <w:rFonts w:hint="eastAsia"/>
          <w:sz w:val="24"/>
          <w:szCs w:val="24"/>
        </w:rPr>
        <w:t>出现下列情况之一时，采购人有权拒绝所有投标，并将理由通知所有投标人：</w:t>
      </w:r>
    </w:p>
    <w:p>
      <w:pPr>
        <w:spacing w:line="380" w:lineRule="exact"/>
        <w:ind w:firstLine="480" w:firstLineChars="200"/>
        <w:rPr>
          <w:rFonts w:ascii="宋体" w:hAnsi="宋体"/>
          <w:sz w:val="24"/>
        </w:rPr>
      </w:pPr>
      <w:r>
        <w:rPr>
          <w:rFonts w:hint="eastAsia" w:ascii="宋体" w:hAnsi="宋体"/>
          <w:sz w:val="24"/>
        </w:rPr>
        <w:t>2.1出现影响采购公正的违法、违规行为的；</w:t>
      </w:r>
    </w:p>
    <w:p>
      <w:pPr>
        <w:spacing w:line="380" w:lineRule="exact"/>
        <w:ind w:firstLine="480" w:firstLineChars="200"/>
        <w:rPr>
          <w:rFonts w:ascii="宋体" w:hAnsi="宋体"/>
          <w:sz w:val="24"/>
        </w:rPr>
      </w:pPr>
      <w:r>
        <w:rPr>
          <w:rFonts w:hint="eastAsia" w:ascii="宋体" w:hAnsi="宋体"/>
          <w:sz w:val="24"/>
        </w:rPr>
        <w:t>2.2投标人的投标均超过了采购预算或最高限价，采购人不能支付的；</w:t>
      </w:r>
    </w:p>
    <w:p>
      <w:pPr>
        <w:spacing w:line="380" w:lineRule="exact"/>
        <w:ind w:firstLine="480" w:firstLineChars="200"/>
        <w:rPr>
          <w:rFonts w:ascii="宋体" w:hAnsi="宋体"/>
          <w:sz w:val="24"/>
        </w:rPr>
      </w:pPr>
      <w:r>
        <w:rPr>
          <w:rFonts w:hint="eastAsia" w:ascii="宋体" w:hAnsi="宋体"/>
          <w:sz w:val="24"/>
        </w:rPr>
        <w:t>2.3因重大变故，采购任务取消的。</w:t>
      </w:r>
    </w:p>
    <w:p>
      <w:pPr>
        <w:pStyle w:val="37"/>
        <w:numPr>
          <w:ilvl w:val="0"/>
          <w:numId w:val="0"/>
        </w:numPr>
        <w:spacing w:line="380" w:lineRule="exact"/>
        <w:ind w:firstLine="482" w:firstLineChars="200"/>
        <w:rPr>
          <w:b/>
          <w:sz w:val="24"/>
          <w:szCs w:val="24"/>
        </w:rPr>
      </w:pPr>
      <w:r>
        <w:rPr>
          <w:rFonts w:hint="eastAsia"/>
          <w:b/>
          <w:sz w:val="24"/>
          <w:szCs w:val="24"/>
        </w:rPr>
        <w:t>3.成交通知</w:t>
      </w:r>
    </w:p>
    <w:p>
      <w:pPr>
        <w:spacing w:line="380" w:lineRule="exact"/>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spacing w:line="380" w:lineRule="exact"/>
        <w:ind w:firstLine="480" w:firstLineChars="200"/>
        <w:rPr>
          <w:rFonts w:ascii="宋体" w:hAnsi="宋体"/>
          <w:sz w:val="24"/>
        </w:rPr>
      </w:pPr>
      <w:r>
        <w:rPr>
          <w:rFonts w:hint="eastAsia" w:ascii="宋体" w:hAnsi="宋体"/>
          <w:sz w:val="24"/>
        </w:rPr>
        <w:t>3.2成交结果公告结束后，成交人需到集中采购中心领取成交通知书。</w:t>
      </w:r>
    </w:p>
    <w:p>
      <w:pPr>
        <w:spacing w:line="380" w:lineRule="exact"/>
        <w:ind w:firstLine="480" w:firstLineChars="200"/>
        <w:rPr>
          <w:rFonts w:ascii="宋体" w:hAnsi="宋体"/>
          <w:sz w:val="24"/>
        </w:rPr>
      </w:pPr>
      <w:r>
        <w:rPr>
          <w:rFonts w:hint="eastAsia" w:ascii="宋体" w:hAnsi="宋体"/>
          <w:sz w:val="24"/>
        </w:rPr>
        <w:t>3.3成交通知书是合同的组成部分。</w:t>
      </w:r>
    </w:p>
    <w:p>
      <w:pPr>
        <w:pStyle w:val="37"/>
        <w:numPr>
          <w:ilvl w:val="0"/>
          <w:numId w:val="0"/>
        </w:numPr>
        <w:spacing w:line="380" w:lineRule="exact"/>
        <w:ind w:firstLine="482" w:firstLineChars="200"/>
        <w:rPr>
          <w:b/>
          <w:sz w:val="24"/>
          <w:szCs w:val="24"/>
        </w:rPr>
      </w:pPr>
      <w:r>
        <w:rPr>
          <w:rFonts w:hint="eastAsia"/>
          <w:b/>
          <w:sz w:val="24"/>
          <w:szCs w:val="24"/>
        </w:rPr>
        <w:t>4.签订合同</w:t>
      </w:r>
    </w:p>
    <w:p>
      <w:pPr>
        <w:spacing w:line="380" w:lineRule="exact"/>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spacing w:line="380" w:lineRule="exact"/>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spacing w:line="380" w:lineRule="exact"/>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spacing w:line="380" w:lineRule="exact"/>
        <w:ind w:firstLine="480" w:firstLineChars="200"/>
        <w:rPr>
          <w:rFonts w:ascii="宋体" w:hAnsi="宋体"/>
          <w:sz w:val="24"/>
        </w:rPr>
      </w:pPr>
      <w:r>
        <w:rPr>
          <w:rFonts w:hint="eastAsia" w:ascii="宋体" w:hAnsi="宋体"/>
          <w:sz w:val="24"/>
        </w:rPr>
        <w:t>4.4不按约定签订或履行合同，给对方造成损失的，应承担赔偿责任。</w:t>
      </w:r>
    </w:p>
    <w:p>
      <w:pPr>
        <w:spacing w:line="380" w:lineRule="exact"/>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w:t>
      </w:r>
      <w:r>
        <w:rPr>
          <w:rFonts w:hint="eastAsia" w:ascii="宋体" w:hAnsi="宋体"/>
          <w:b/>
          <w:color w:val="auto"/>
          <w:sz w:val="24"/>
        </w:rPr>
        <w:t>并报省财政厅备案，</w:t>
      </w:r>
      <w:r>
        <w:rPr>
          <w:rFonts w:hint="eastAsia" w:ascii="宋体" w:hAnsi="宋体"/>
          <w:b/>
          <w:sz w:val="24"/>
        </w:rPr>
        <w:t>且3年内禁止在我院参与招投标活动。</w:t>
      </w:r>
    </w:p>
    <w:p>
      <w:pPr>
        <w:pStyle w:val="36"/>
        <w:numPr>
          <w:ilvl w:val="0"/>
          <w:numId w:val="0"/>
        </w:numPr>
        <w:spacing w:before="0" w:after="0" w:line="380" w:lineRule="exact"/>
        <w:ind w:firstLine="482" w:firstLineChars="200"/>
        <w:jc w:val="left"/>
        <w:outlineLvl w:val="9"/>
        <w:rPr>
          <w:rFonts w:ascii="宋体" w:hAnsi="宋体"/>
          <w:sz w:val="24"/>
          <w:szCs w:val="24"/>
        </w:rPr>
      </w:pPr>
      <w:r>
        <w:rPr>
          <w:rFonts w:hint="eastAsia" w:ascii="宋体" w:hAnsi="宋体"/>
          <w:sz w:val="24"/>
          <w:szCs w:val="24"/>
        </w:rPr>
        <w:t>六、询问和质疑</w:t>
      </w:r>
    </w:p>
    <w:p>
      <w:pPr>
        <w:pStyle w:val="37"/>
        <w:numPr>
          <w:ilvl w:val="0"/>
          <w:numId w:val="0"/>
        </w:numPr>
        <w:spacing w:line="380" w:lineRule="exact"/>
        <w:ind w:firstLine="482" w:firstLineChars="200"/>
        <w:rPr>
          <w:b/>
          <w:sz w:val="24"/>
          <w:szCs w:val="24"/>
        </w:rPr>
      </w:pPr>
      <w:r>
        <w:rPr>
          <w:rFonts w:hint="eastAsia"/>
          <w:b/>
          <w:sz w:val="24"/>
          <w:szCs w:val="24"/>
        </w:rPr>
        <w:t>1.投标人有权就采购程序或签订合同的事宜提出质疑</w:t>
      </w:r>
    </w:p>
    <w:p>
      <w:pPr>
        <w:spacing w:line="380" w:lineRule="exact"/>
        <w:ind w:firstLine="480" w:firstLineChars="200"/>
        <w:rPr>
          <w:rFonts w:ascii="宋体" w:hAnsi="宋体"/>
          <w:sz w:val="24"/>
        </w:rPr>
      </w:pPr>
      <w:r>
        <w:rPr>
          <w:rFonts w:hint="eastAsia" w:ascii="宋体" w:hAnsi="宋体"/>
          <w:sz w:val="24"/>
        </w:rPr>
        <w:t>1.1投标人对采购事项有疑问的，可以向采购人提出询问。</w:t>
      </w:r>
    </w:p>
    <w:p>
      <w:pPr>
        <w:spacing w:line="380" w:lineRule="exact"/>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spacing w:line="380" w:lineRule="exact"/>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1.3采购人或采购人将在收到书面质疑后7个工作日内审查质疑事项，做出答复或相关处理决定，并以书面形式通知质疑投标人并报学院采购管理的上一级部门审查。</w:t>
      </w:r>
    </w:p>
    <w:p>
      <w:pPr>
        <w:spacing w:line="380" w:lineRule="exact"/>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36"/>
        <w:numPr>
          <w:ilvl w:val="0"/>
          <w:numId w:val="0"/>
        </w:numPr>
        <w:spacing w:before="0" w:after="0" w:line="380" w:lineRule="exact"/>
        <w:ind w:firstLine="482" w:firstLineChars="200"/>
        <w:jc w:val="left"/>
        <w:outlineLvl w:val="9"/>
        <w:rPr>
          <w:rFonts w:ascii="宋体" w:hAnsi="宋体"/>
          <w:sz w:val="24"/>
          <w:szCs w:val="24"/>
        </w:rPr>
      </w:pPr>
      <w:r>
        <w:rPr>
          <w:rFonts w:hint="eastAsia" w:ascii="宋体" w:hAnsi="宋体"/>
          <w:sz w:val="24"/>
          <w:szCs w:val="24"/>
        </w:rPr>
        <w:t>七、保密和披露</w:t>
      </w:r>
    </w:p>
    <w:p>
      <w:pPr>
        <w:spacing w:line="380" w:lineRule="exact"/>
        <w:ind w:firstLine="480" w:firstLineChars="200"/>
        <w:rPr>
          <w:rFonts w:ascii="宋体" w:hAnsi="宋体"/>
          <w:sz w:val="24"/>
        </w:rPr>
      </w:pPr>
      <w:r>
        <w:rPr>
          <w:rFonts w:hint="eastAsia" w:ascii="宋体" w:hAnsi="宋体"/>
          <w:sz w:val="24"/>
        </w:rPr>
        <w:t>1.保密和披露</w:t>
      </w:r>
    </w:p>
    <w:p>
      <w:pPr>
        <w:spacing w:line="380" w:lineRule="exact"/>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spacing w:line="380" w:lineRule="exact"/>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spacing w:line="380" w:lineRule="exact"/>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36"/>
        <w:numPr>
          <w:ilvl w:val="0"/>
          <w:numId w:val="0"/>
        </w:numPr>
        <w:spacing w:before="0" w:after="0" w:line="380" w:lineRule="exact"/>
        <w:ind w:firstLine="482" w:firstLineChars="200"/>
        <w:jc w:val="left"/>
        <w:outlineLvl w:val="9"/>
        <w:rPr>
          <w:rFonts w:ascii="宋体" w:hAnsi="宋体"/>
          <w:sz w:val="24"/>
          <w:szCs w:val="24"/>
        </w:rPr>
      </w:pPr>
      <w:r>
        <w:rPr>
          <w:rFonts w:hint="eastAsia" w:ascii="宋体" w:hAnsi="宋体"/>
          <w:sz w:val="24"/>
          <w:szCs w:val="24"/>
        </w:rPr>
        <w:t>八、无效标书的判定</w:t>
      </w:r>
    </w:p>
    <w:p>
      <w:pPr>
        <w:spacing w:line="380" w:lineRule="exact"/>
        <w:ind w:firstLine="480" w:firstLineChars="200"/>
        <w:rPr>
          <w:rFonts w:ascii="宋体" w:hAnsi="宋体"/>
          <w:sz w:val="24"/>
        </w:rPr>
      </w:pPr>
      <w:r>
        <w:rPr>
          <w:rFonts w:hint="eastAsia" w:ascii="宋体" w:hAnsi="宋体"/>
          <w:sz w:val="24"/>
        </w:rPr>
        <w:t>投标文件有下列情况之一的，应作为无效投标文件，不再参加评标：</w:t>
      </w:r>
    </w:p>
    <w:p>
      <w:pPr>
        <w:spacing w:line="380" w:lineRule="exact"/>
        <w:ind w:firstLine="420" w:firstLineChars="200"/>
        <w:rPr>
          <w:rFonts w:ascii="宋体" w:hAnsi="宋体"/>
          <w:sz w:val="24"/>
        </w:rPr>
      </w:pPr>
      <w:r>
        <w:rPr>
          <w:rFonts w:hint="eastAsia"/>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pPr>
        <w:spacing w:line="380" w:lineRule="exact"/>
        <w:ind w:firstLine="480" w:firstLineChars="200"/>
        <w:rPr>
          <w:rFonts w:ascii="宋体" w:hAnsi="宋体"/>
          <w:sz w:val="24"/>
        </w:rPr>
      </w:pPr>
      <w:r>
        <w:rPr>
          <w:rFonts w:hint="eastAsia" w:ascii="宋体" w:hAnsi="宋体"/>
          <w:sz w:val="24"/>
        </w:rPr>
        <w:t>2.未按采购文件要求缴纳相关费用的。</w:t>
      </w:r>
    </w:p>
    <w:p>
      <w:pPr>
        <w:spacing w:line="380" w:lineRule="exact"/>
        <w:ind w:firstLine="480" w:firstLineChars="200"/>
        <w:rPr>
          <w:rFonts w:ascii="宋体" w:hAnsi="宋体"/>
          <w:sz w:val="24"/>
        </w:rPr>
      </w:pPr>
      <w:r>
        <w:rPr>
          <w:rFonts w:hint="eastAsia" w:ascii="宋体" w:hAnsi="宋体"/>
          <w:sz w:val="24"/>
        </w:rPr>
        <w:t>3.未按采购文件要求编制，内容不全或关键字模糊、无法辨认的。</w:t>
      </w:r>
    </w:p>
    <w:p>
      <w:pPr>
        <w:spacing w:line="380" w:lineRule="exact"/>
        <w:ind w:firstLine="480" w:firstLineChars="200"/>
        <w:rPr>
          <w:rFonts w:ascii="宋体" w:hAnsi="宋体"/>
          <w:sz w:val="24"/>
        </w:rPr>
      </w:pPr>
      <w:r>
        <w:rPr>
          <w:rFonts w:hint="eastAsia" w:ascii="宋体" w:hAnsi="宋体"/>
          <w:sz w:val="24"/>
        </w:rPr>
        <w:t>4.投标人名称或组织机构等与原件不一致的。</w:t>
      </w:r>
    </w:p>
    <w:p>
      <w:pPr>
        <w:spacing w:line="380" w:lineRule="exact"/>
        <w:ind w:firstLine="480" w:firstLineChars="200"/>
        <w:rPr>
          <w:rFonts w:ascii="宋体" w:hAnsi="宋体"/>
          <w:sz w:val="24"/>
        </w:rPr>
      </w:pPr>
      <w:r>
        <w:rPr>
          <w:rFonts w:hint="eastAsia" w:ascii="宋体" w:hAnsi="宋体"/>
          <w:sz w:val="24"/>
        </w:rPr>
        <w:t>5.投标人资格条件不符合国家有关规定或采购文件要求的。</w:t>
      </w:r>
    </w:p>
    <w:p>
      <w:pPr>
        <w:spacing w:line="380" w:lineRule="exact"/>
        <w:ind w:firstLine="480" w:firstLineChars="200"/>
        <w:rPr>
          <w:rFonts w:ascii="宋体" w:hAnsi="宋体"/>
          <w:sz w:val="24"/>
        </w:rPr>
      </w:pPr>
      <w:r>
        <w:rPr>
          <w:rFonts w:hint="eastAsia" w:ascii="宋体" w:hAnsi="宋体"/>
          <w:sz w:val="24"/>
        </w:rPr>
        <w:t>6.投标文件载明的项目完成期限超过采购文件规定的期限。</w:t>
      </w:r>
    </w:p>
    <w:p>
      <w:pPr>
        <w:spacing w:line="380" w:lineRule="exact"/>
        <w:ind w:firstLine="480" w:firstLineChars="200"/>
        <w:rPr>
          <w:rFonts w:ascii="宋体" w:hAnsi="宋体"/>
          <w:sz w:val="24"/>
        </w:rPr>
      </w:pPr>
      <w:r>
        <w:rPr>
          <w:rFonts w:hint="eastAsia" w:ascii="宋体" w:hAnsi="宋体"/>
          <w:sz w:val="24"/>
        </w:rPr>
        <w:t>7.明显不符合技术规范、技术标准的要求。</w:t>
      </w:r>
    </w:p>
    <w:p>
      <w:pPr>
        <w:spacing w:line="380" w:lineRule="exact"/>
        <w:ind w:firstLine="480" w:firstLineChars="200"/>
        <w:rPr>
          <w:rFonts w:ascii="宋体" w:hAnsi="宋体"/>
          <w:sz w:val="24"/>
        </w:rPr>
      </w:pPr>
      <w:r>
        <w:rPr>
          <w:rFonts w:hint="eastAsia" w:ascii="宋体" w:hAnsi="宋体"/>
          <w:sz w:val="24"/>
        </w:rPr>
        <w:t>8.投标报价超过采购文件规定的采购控制价的。</w:t>
      </w:r>
    </w:p>
    <w:p>
      <w:pPr>
        <w:spacing w:line="380" w:lineRule="exact"/>
        <w:ind w:firstLine="480" w:firstLineChars="200"/>
        <w:rPr>
          <w:rFonts w:ascii="宋体" w:hAnsi="宋体"/>
          <w:sz w:val="24"/>
        </w:rPr>
      </w:pPr>
      <w:r>
        <w:rPr>
          <w:rFonts w:hint="eastAsia" w:ascii="宋体" w:hAnsi="宋体"/>
          <w:sz w:val="24"/>
        </w:rPr>
        <w:t>9.不同投标人的投标文件出现了评标小组认为不应当雷同的情况。</w:t>
      </w:r>
    </w:p>
    <w:p>
      <w:pPr>
        <w:spacing w:line="380" w:lineRule="exact"/>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spacing w:line="380" w:lineRule="exact"/>
        <w:ind w:firstLine="480" w:firstLineChars="200"/>
        <w:rPr>
          <w:rFonts w:ascii="宋体" w:hAnsi="宋体"/>
          <w:sz w:val="24"/>
        </w:rPr>
      </w:pPr>
      <w:r>
        <w:rPr>
          <w:rFonts w:hint="eastAsia" w:ascii="宋体" w:hAnsi="宋体"/>
          <w:sz w:val="24"/>
        </w:rPr>
        <w:t>11.串通投标、以行贿手段谋取中标或者以其他弄虚作假方式投标的。</w:t>
      </w:r>
    </w:p>
    <w:p>
      <w:pPr>
        <w:spacing w:line="380" w:lineRule="exact"/>
        <w:ind w:firstLine="480" w:firstLineChars="200"/>
        <w:rPr>
          <w:rFonts w:ascii="宋体" w:hAnsi="宋体"/>
          <w:sz w:val="24"/>
        </w:rPr>
      </w:pPr>
      <w:r>
        <w:rPr>
          <w:rFonts w:hint="eastAsia" w:ascii="宋体" w:hAnsi="宋体"/>
          <w:sz w:val="24"/>
        </w:rPr>
        <w:t>12.经评标小组认定投标人的投标报价低于成本价的。</w:t>
      </w:r>
    </w:p>
    <w:p>
      <w:pPr>
        <w:spacing w:line="380" w:lineRule="exact"/>
        <w:ind w:firstLine="480" w:firstLineChars="200"/>
        <w:rPr>
          <w:rFonts w:ascii="宋体" w:hAnsi="宋体"/>
          <w:sz w:val="24"/>
        </w:rPr>
      </w:pPr>
      <w:r>
        <w:rPr>
          <w:rFonts w:hint="eastAsia" w:ascii="宋体" w:hAnsi="宋体"/>
          <w:sz w:val="24"/>
        </w:rPr>
        <w:t>13.投标文件载明的货物包装方式、检验标准和方法等不符合招标文件的要求。</w:t>
      </w:r>
    </w:p>
    <w:p>
      <w:pPr>
        <w:spacing w:line="380" w:lineRule="exact"/>
        <w:ind w:firstLine="480" w:firstLineChars="200"/>
        <w:rPr>
          <w:rFonts w:ascii="宋体" w:hAnsi="宋体"/>
          <w:sz w:val="24"/>
        </w:rPr>
      </w:pPr>
      <w:r>
        <w:rPr>
          <w:rFonts w:hint="eastAsia" w:ascii="宋体" w:hAnsi="宋体"/>
          <w:sz w:val="24"/>
        </w:rPr>
        <w:t>14.投标文件提出了不能满足招标文件要求或招标人不能接受的工程验收、计量、价款结算支付办法。</w:t>
      </w:r>
    </w:p>
    <w:p>
      <w:pPr>
        <w:ind w:left="480"/>
        <w:jc w:val="center"/>
        <w:rPr>
          <w:b/>
          <w:bCs/>
          <w:sz w:val="32"/>
          <w:szCs w:val="32"/>
        </w:rPr>
      </w:pPr>
      <w:r>
        <w:rPr>
          <w:rFonts w:ascii="宋体" w:hAnsi="宋体"/>
          <w:sz w:val="24"/>
          <w:u w:val="single"/>
        </w:rPr>
        <w:br w:type="page"/>
      </w:r>
      <w:r>
        <w:rPr>
          <w:rFonts w:hint="eastAsia"/>
          <w:b/>
          <w:bCs/>
          <w:sz w:val="32"/>
          <w:szCs w:val="32"/>
        </w:rPr>
        <w:t>第二章  项目概况及要求</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一.项目概况</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江苏师范大学科文学院在校生15000余人（2025年9月份将增至16000余人），校内设有</w:t>
      </w:r>
      <w:r>
        <w:rPr>
          <w:rFonts w:hint="eastAsia" w:asciiTheme="minorEastAsia" w:hAnsiTheme="minorEastAsia" w:eastAsiaTheme="minorEastAsia" w:cstheme="minorEastAsia"/>
          <w:color w:val="auto"/>
          <w:sz w:val="24"/>
          <w:lang w:val="en-US" w:eastAsia="zh-CN"/>
        </w:rPr>
        <w:t>四个</w:t>
      </w:r>
      <w:r>
        <w:rPr>
          <w:rFonts w:hint="eastAsia" w:asciiTheme="minorEastAsia" w:hAnsiTheme="minorEastAsia" w:eastAsiaTheme="minorEastAsia" w:cstheme="minorEastAsia"/>
          <w:color w:val="auto"/>
          <w:sz w:val="24"/>
        </w:rPr>
        <w:t>个</w:t>
      </w:r>
      <w:r>
        <w:rPr>
          <w:rFonts w:hint="eastAsia" w:asciiTheme="minorEastAsia" w:hAnsiTheme="minorEastAsia" w:eastAsiaTheme="minorEastAsia" w:cstheme="minorEastAsia"/>
          <w:color w:val="auto"/>
          <w:sz w:val="24"/>
          <w:lang w:val="en-US" w:eastAsia="zh-CN"/>
        </w:rPr>
        <w:t>食堂</w:t>
      </w:r>
      <w:r>
        <w:rPr>
          <w:rFonts w:hint="eastAsia" w:asciiTheme="minorEastAsia" w:hAnsiTheme="minorEastAsia" w:eastAsiaTheme="minorEastAsia" w:cstheme="minorEastAsia"/>
          <w:color w:val="auto"/>
          <w:sz w:val="24"/>
        </w:rPr>
        <w:t>。该餐厅位于一食堂三层，建筑面积约1820平方米，其中操作间面积约400平方米，包间区面积约200平方米，餐厅面积约600平方米。就餐大厅可容纳400-500人就餐，3个包间（1个大包间、2个小包间）可容纳约40人就餐。餐厅包含基本厨具、餐具、空调；各功能间设施设备、水、电及管道液化气齐全。</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二.项目定位</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（一）基本大伙（保障性伙食）：满足约</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00名教工和学生中午就餐和约有150人晚餐需求。以提供精品快餐为主，徐州把子肉、米线、面条、水饺</w:t>
      </w:r>
      <w:r>
        <w:rPr>
          <w:rFonts w:hint="eastAsia" w:asciiTheme="minorEastAsia" w:hAnsiTheme="minorEastAsia" w:eastAsiaTheme="minorEastAsia" w:cstheme="minorEastAsia"/>
          <w:color w:val="auto"/>
          <w:sz w:val="24"/>
          <w:lang w:val="en-US" w:eastAsia="zh-CN"/>
        </w:rPr>
        <w:t>等</w:t>
      </w:r>
      <w:r>
        <w:rPr>
          <w:rFonts w:hint="eastAsia" w:asciiTheme="minorEastAsia" w:hAnsiTheme="minorEastAsia" w:eastAsiaTheme="minorEastAsia" w:cstheme="minorEastAsia"/>
          <w:color w:val="auto"/>
          <w:sz w:val="24"/>
        </w:rPr>
        <w:t>为辅，每餐提供高、中、低档菜，主食为米饭和馒头，1元蔬菜、免费调料</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汤或稀粥不间断供应。具体菜品和占比参照院方规定。</w:t>
      </w:r>
    </w:p>
    <w:p>
      <w:pPr>
        <w:widowControl/>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（二）特色卤菜：定期制作特色卤菜，丰富菜品种类，</w:t>
      </w:r>
      <w:r>
        <w:rPr>
          <w:rFonts w:hint="eastAsia" w:asciiTheme="minorEastAsia" w:hAnsiTheme="minorEastAsia" w:eastAsiaTheme="minorEastAsia" w:cstheme="minorEastAsia"/>
          <w:sz w:val="24"/>
          <w:lang w:bidi="ar"/>
        </w:rPr>
        <w:t>满足师生多样化口味需求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（三）桌餐服务区：设在餐厅三个包间内，提供点餐、生日宴会、聚餐等餐饮服务。</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三.管理要求</w:t>
      </w:r>
    </w:p>
    <w:p>
      <w:pPr>
        <w:widowControl/>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投标人应有高校学生餐厅、教工餐厅经营和管理经历，熟悉高校办学规律和学生生活规律，认知高校餐饮服务的公益性、保障性、时效性和阶段性等特征，注重社会效益，履行服务育人职责。</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四.人员配置（以下是最低人员配置数量，投标人根据项目情况在此基础上自行增加人员配置）</w:t>
      </w:r>
    </w:p>
    <w:p>
      <w:pPr>
        <w:spacing w:line="400" w:lineRule="exact"/>
        <w:ind w:firstLine="480" w:firstLineChars="200"/>
        <w:rPr>
          <w:rFonts w:hint="eastAsia"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FF0000"/>
          <w:sz w:val="24"/>
        </w:rPr>
        <w:t>厨师长1名 （</w:t>
      </w:r>
      <w:r>
        <w:rPr>
          <w:rFonts w:hint="eastAsia" w:asciiTheme="minorEastAsia" w:hAnsiTheme="minorEastAsia" w:eastAsiaTheme="minorEastAsia" w:cstheme="minorEastAsia"/>
          <w:color w:val="FF0000"/>
          <w:sz w:val="24"/>
          <w:lang w:val="en-US" w:eastAsia="zh-CN"/>
        </w:rPr>
        <w:t>具有高级（</w:t>
      </w:r>
      <w:r>
        <w:rPr>
          <w:rFonts w:hint="eastAsia" w:asciiTheme="minorEastAsia" w:hAnsiTheme="minorEastAsia" w:eastAsiaTheme="minorEastAsia" w:cstheme="minorEastAsia"/>
          <w:color w:val="FF0000"/>
          <w:sz w:val="24"/>
        </w:rPr>
        <w:t>三级</w:t>
      </w:r>
      <w:r>
        <w:rPr>
          <w:rFonts w:hint="eastAsia" w:asciiTheme="minorEastAsia" w:hAnsiTheme="minorEastAsia" w:eastAsiaTheme="minorEastAsia" w:cstheme="minorEastAsia"/>
          <w:color w:val="FF0000"/>
          <w:sz w:val="24"/>
          <w:lang w:val="en-US" w:eastAsia="zh-CN"/>
        </w:rPr>
        <w:t>）及以上</w:t>
      </w:r>
      <w:r>
        <w:rPr>
          <w:rFonts w:hint="eastAsia" w:asciiTheme="minorEastAsia" w:hAnsiTheme="minorEastAsia" w:eastAsiaTheme="minorEastAsia" w:cstheme="minorEastAsia"/>
          <w:color w:val="FF0000"/>
          <w:sz w:val="24"/>
        </w:rPr>
        <w:t>厨师证</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rPr>
        <w:t>投标文件中提供其证书扫描件</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szCs w:val="24"/>
        </w:rPr>
        <w:t>3年以上餐饮岗位工作经验</w:t>
      </w:r>
      <w:r>
        <w:rPr>
          <w:rFonts w:hint="eastAsia" w:asciiTheme="minorEastAsia" w:hAnsiTheme="minorEastAsia" w:eastAsiaTheme="minorEastAsia" w:cstheme="minorEastAsia"/>
          <w:color w:val="FF0000"/>
          <w:sz w:val="24"/>
        </w:rPr>
        <w:t>）；厨师2名（</w:t>
      </w:r>
      <w:r>
        <w:rPr>
          <w:rFonts w:hint="eastAsia" w:asciiTheme="minorEastAsia" w:hAnsiTheme="minorEastAsia" w:eastAsiaTheme="minorEastAsia" w:cstheme="minorEastAsia"/>
          <w:color w:val="FF0000"/>
          <w:sz w:val="24"/>
          <w:lang w:val="en-US" w:eastAsia="zh-CN"/>
        </w:rPr>
        <w:t>具有中级（四</w:t>
      </w:r>
      <w:r>
        <w:rPr>
          <w:rFonts w:hint="eastAsia" w:asciiTheme="minorEastAsia" w:hAnsiTheme="minorEastAsia" w:eastAsiaTheme="minorEastAsia" w:cstheme="minorEastAsia"/>
          <w:color w:val="FF0000"/>
          <w:sz w:val="24"/>
        </w:rPr>
        <w:t>级</w:t>
      </w:r>
      <w:r>
        <w:rPr>
          <w:rFonts w:hint="eastAsia" w:asciiTheme="minorEastAsia" w:hAnsiTheme="minorEastAsia" w:eastAsiaTheme="minorEastAsia" w:cstheme="minorEastAsia"/>
          <w:color w:val="FF0000"/>
          <w:sz w:val="24"/>
          <w:lang w:val="en-US" w:eastAsia="zh-CN"/>
        </w:rPr>
        <w:t>）及以上</w:t>
      </w:r>
      <w:r>
        <w:rPr>
          <w:rFonts w:hint="eastAsia" w:asciiTheme="minorEastAsia" w:hAnsiTheme="minorEastAsia" w:eastAsiaTheme="minorEastAsia" w:cstheme="minorEastAsia"/>
          <w:color w:val="FF0000"/>
          <w:sz w:val="24"/>
        </w:rPr>
        <w:t>厨师证，投标文件中提供其证书扫描件</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szCs w:val="24"/>
        </w:rPr>
        <w:t>3</w:t>
      </w:r>
      <w:r>
        <w:rPr>
          <w:rFonts w:hint="eastAsia" w:asciiTheme="minorEastAsia" w:hAnsiTheme="minorEastAsia" w:eastAsiaTheme="minorEastAsia" w:cstheme="minorEastAsia"/>
          <w:color w:val="FF0000"/>
          <w:sz w:val="24"/>
          <w:lang w:val="en-US" w:eastAsia="zh-CN"/>
        </w:rPr>
        <w:t>年以上餐饮岗位工作经验）；切配工1名（女性，形象较好，可提供桌餐上菜服务）；洗菜粗加工人员2名。</w:t>
      </w:r>
    </w:p>
    <w:p>
      <w:pPr>
        <w:spacing w:line="400" w:lineRule="exact"/>
        <w:ind w:firstLine="480" w:firstLineChars="200"/>
        <w:rPr>
          <w:rFonts w:hint="default"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FF0000"/>
          <w:sz w:val="24"/>
          <w:lang w:val="en-US" w:eastAsia="zh-CN"/>
        </w:rPr>
        <w:t>以上人员要求必须满足，否则投标将被拒绝。</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五.服务要求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（一）食品质量要求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1、食品烧（炒）熟烧（炒）透，熟制后食品完整不碎及不松散。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2、热菜供餐时保持温热。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3、热菜食品表面无风干及水浸现象。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4、素食食品即时烹炒并控制过多汤汁和水分。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5、所供食品保证质量。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（二）饭菜出品时间和要求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1、按规定准时开餐，每餐所供食品最迟在开餐前 15 分钟布置完毕，如变更或其他情况，不能准时开餐，中标人应提前通知采购人职能管理部门，并留有充分时间做出补救。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2、合理安排供餐人数、售饭窗口数量及分布，保持供餐器皿及时洗消保洁及供应，不可出现用餐人员等候拥挤混乱现象。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3、分餐服务人员及时准确进行分餐，保证饭菜数量。</w:t>
      </w:r>
      <w:r>
        <w:rPr>
          <w:rFonts w:hint="eastAsia" w:asciiTheme="minorEastAsia" w:hAnsiTheme="minorEastAsia" w:eastAsiaTheme="minorEastAsia" w:cstheme="minorEastAsia"/>
          <w:sz w:val="24"/>
          <w:lang w:bidi="ar"/>
        </w:rPr>
        <w:t xml:space="preserve">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（三）卫生要求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1、食品卫生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生、熟、半成品分开存放，生、熟食品工具、容器分开使用，水池、水箱 标识齐全。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冷荤部必须做到“五专”（专人、专室、专工具、专冷藏、专消毒）。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净料、成品、半成品的存放要离地上架。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剩饭、剩菜处理得当，充分加热后使用。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食品防尘、防蝇、无变质。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2、环境卫生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后厨的门窗及案台、地面、墙面整齐清洁，无残渣油垢，供餐后及时清扫。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库房物品码放整齐，货架分类，隔地离墙，通风换气，有防灭鼠措施，冰箱生熟及半成品分开，无变质食品。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食堂沟、池畅通，地面整洁无垃圾，消灭蚊、蝇孳生地。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食堂内外划分责任区并责任到人，做到活完脚下清。每周大扫除，坚持月末卫生日活动。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3、个人卫生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持证上岗</w:t>
      </w:r>
      <w:r>
        <w:rPr>
          <w:rFonts w:hint="eastAsia" w:asciiTheme="minorEastAsia" w:hAnsiTheme="minorEastAsia" w:eastAsiaTheme="minorEastAsia" w:cstheme="minorEastAsia"/>
          <w:color w:val="auto"/>
          <w:sz w:val="24"/>
        </w:rPr>
        <w:t>（健康证和卫生培训证）</w:t>
      </w:r>
      <w:r>
        <w:rPr>
          <w:rFonts w:hint="eastAsia" w:asciiTheme="minorEastAsia" w:hAnsiTheme="minorEastAsia" w:eastAsiaTheme="minorEastAsia" w:cstheme="minorEastAsia"/>
          <w:sz w:val="24"/>
        </w:rPr>
        <w:t xml:space="preserve">。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做到“四勤”（勤洗手剪指甲、勤洗澡理发、勤洗衣服被褥、勤换工作服）。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穿戴好工作服、工作帽，不随地吐痰、不吸烟、不穿拖鞋、不戴戒指，操作前后及大小便后必须洗净双手。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不准穿工作服上厕所、上医院。更衣柜内只能存放个人衣物和洗澡用品。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4、设备、炊具、卫生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炊事机械设备使用中生熟分开，使用后必须刷洗干净保持清洁，做到无锈、无油渍、无腐物，定位整齐，防止污染。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炊用具使用前必须清洗，使用中生熟分开，使用后洗净保持清洁，每周进行消毒，消毒次数随季节增减。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成品、半成品和净料容器（盆、盘、筐）定位存放，每周消毒，消毒次数</w:t>
      </w:r>
      <w:r>
        <w:rPr>
          <w:rFonts w:hint="eastAsia" w:asciiTheme="minorEastAsia" w:hAnsiTheme="minorEastAsia" w:eastAsiaTheme="minorEastAsia" w:cstheme="minorEastAsia"/>
          <w:sz w:val="24"/>
          <w:lang w:bidi="ar"/>
        </w:rPr>
        <w:t xml:space="preserve">随季节增减。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整个食堂的卫生防疫、就餐环境卫生等级必须达到市、区卫生监督部门要求的卫生标准，采购人有权监督，并定时检查。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（四）安全责任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中标人应注重食品卫生安全。中标人应负责用工、用水、用电、用气安全和消防安全，明确责任人，服从采购人职能管理部门的统一管理，确保安全无事故。如发生食品安全、水电、消防安全等方面的安全事故，由中标人承担全部责任，采购人概不负责。中标人应注重落实门禁、监控等安全措施。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（五）食品保存要求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食品须新鲜干净，保存妥善。</w:t>
      </w:r>
      <w:r>
        <w:rPr>
          <w:rFonts w:hint="eastAsia" w:asciiTheme="minorEastAsia" w:hAnsiTheme="minorEastAsia" w:eastAsiaTheme="minorEastAsia" w:cstheme="minorEastAsia"/>
          <w:sz w:val="24"/>
          <w:lang w:bidi="ar"/>
        </w:rPr>
        <w:t xml:space="preserve">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（六）应急处理要求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1、中标人应配合采购人做好重大应急活动的就餐保障工作。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2、发现食物有腐烂变质现象或使用腐烂变质食物造成安全事故，需提供应急方案。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采购人负责提供各阶段就餐的大约人数，一旦有较大人员变动时立即通知中标人。中标人应在收到采购人通知后立即响应并有计划的实施。各响应供应商应在响应文件的《应急方案》中提供针对此项要求的实施方案。</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（七）其他规定</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1、合同期满，合同自动终止。</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2、合同首期经营期考核不合格的，合同不再续签，合同终止。</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、合同到期或提前终止合同的，中标人不得破坏、拆除、损毁</w:t>
      </w:r>
      <w:r>
        <w:rPr>
          <w:rFonts w:hint="eastAsia" w:asciiTheme="minorEastAsia" w:hAnsiTheme="minorEastAsia" w:eastAsiaTheme="minorEastAsia" w:cstheme="minorEastAsia"/>
          <w:sz w:val="24"/>
          <w:lang w:val="en-US" w:eastAsia="zh-CN"/>
        </w:rPr>
        <w:t>原有</w:t>
      </w:r>
      <w:r>
        <w:rPr>
          <w:rFonts w:hint="eastAsia" w:asciiTheme="minorEastAsia" w:hAnsiTheme="minorEastAsia" w:eastAsiaTheme="minorEastAsia" w:cstheme="minorEastAsia"/>
          <w:sz w:val="24"/>
        </w:rPr>
        <w:t>的设施设备和装潢改造，否则将根据实际情况计算损失，损失费用从履约保证金中扣除。</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、经营期间有下列情况之一，将终止合同，中标人无偿退出：</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（1）发生食物中毒，责任在中标人。</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（2）食堂发生火灾，责任在中标人。</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（3）中标人违反法律法规或校方相关规定，给学校造成重大不良影响。</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（4）中标人在本项目经营期间违法，受到我国司法部门处理。</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（5）因中标人擅自提高饭菜价格，出现食品安全、服务质量等问题，导致引发群体事件，影响恶劣。</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（6）中标人转包餐厅，或在经营期间有转包本项目内窗口经营行为。</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（7）中标人不服从校方监管，或无故停止营业的。</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（8）其它违反合同约定，或有违反我国法律法规违规行为。</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由于中标人过错终止合同，由此产生的经济损失及法律责任均由中标人承担。中标人应在接到院方“终止合同、退出经营通知”两周内上缴所经营食堂钥匙及食堂内所有设施设备，中标人上交的履约保证金不予退还。</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、合同期未满，院方由于校园基本建设、拆迁</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政策调整</w:t>
      </w:r>
      <w:r>
        <w:rPr>
          <w:rFonts w:hint="eastAsia" w:asciiTheme="minorEastAsia" w:hAnsiTheme="minorEastAsia" w:eastAsiaTheme="minorEastAsia" w:cstheme="minorEastAsia"/>
          <w:sz w:val="24"/>
        </w:rPr>
        <w:t>等原因需要终止合同时，</w:t>
      </w:r>
      <w:r>
        <w:rPr>
          <w:rFonts w:hint="eastAsia" w:asciiTheme="minorEastAsia" w:hAnsiTheme="minorEastAsia" w:eastAsiaTheme="minorEastAsia" w:cstheme="minorEastAsia"/>
          <w:sz w:val="24"/>
          <w:lang w:val="en-US" w:eastAsia="zh-CN"/>
        </w:rPr>
        <w:t>需</w:t>
      </w:r>
      <w:r>
        <w:rPr>
          <w:rFonts w:hint="eastAsia" w:asciiTheme="minorEastAsia" w:hAnsiTheme="minorEastAsia" w:eastAsiaTheme="minorEastAsia" w:cstheme="minorEastAsia"/>
          <w:sz w:val="24"/>
        </w:rPr>
        <w:t>提前两个月通知中标人，</w:t>
      </w:r>
      <w:r>
        <w:rPr>
          <w:rFonts w:hint="eastAsia" w:asciiTheme="minorEastAsia" w:hAnsiTheme="minorEastAsia" w:eastAsiaTheme="minorEastAsia" w:cstheme="minorEastAsia"/>
          <w:sz w:val="24"/>
          <w:lang w:val="en-US" w:eastAsia="zh-CN"/>
        </w:rPr>
        <w:t>合同自动终止</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sz w:val="24"/>
          <w:szCs w:val="24"/>
          <w:lang w:val="en-US" w:eastAsia="zh-CN"/>
        </w:rPr>
        <w:t>中标人不得追究采购人任何责任</w:t>
      </w:r>
      <w:r>
        <w:rPr>
          <w:rFonts w:hint="eastAsia" w:asciiTheme="minorEastAsia" w:hAnsiTheme="minorEastAsia" w:eastAsiaTheme="minorEastAsia" w:cstheme="minorEastAsia"/>
          <w:color w:val="auto"/>
          <w:sz w:val="24"/>
          <w:szCs w:val="24"/>
        </w:rPr>
        <w:t>。</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.严格遵守校方的相关管理规定，如违反，学院将给予相应的违约处罚。</w:t>
      </w:r>
    </w:p>
    <w:p>
      <w:pPr>
        <w:spacing w:line="400" w:lineRule="exact"/>
        <w:ind w:firstLine="480" w:firstLineChars="200"/>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p>
    <w:p>
      <w:pPr>
        <w:pStyle w:val="2"/>
        <w:rPr>
          <w:rFonts w:asciiTheme="minorEastAsia" w:hAnsiTheme="minorEastAsia" w:eastAsiaTheme="minorEastAsia" w:cstheme="minorEastAsia"/>
          <w:sz w:val="24"/>
        </w:rPr>
      </w:pPr>
    </w:p>
    <w:p>
      <w:pPr>
        <w:pStyle w:val="3"/>
        <w:rPr>
          <w:rFonts w:asciiTheme="minorEastAsia" w:hAnsiTheme="minorEastAsia" w:eastAsiaTheme="minorEastAsia" w:cstheme="minorEastAsia"/>
          <w:sz w:val="24"/>
        </w:rPr>
      </w:pPr>
    </w:p>
    <w:p>
      <w:pPr>
        <w:pStyle w:val="5"/>
      </w:pPr>
    </w:p>
    <w:p>
      <w:pPr>
        <w:spacing w:line="320" w:lineRule="exact"/>
        <w:ind w:firstLine="480" w:firstLineChars="200"/>
        <w:rPr>
          <w:rFonts w:ascii="宋体" w:hAnsi="宋体"/>
          <w:sz w:val="24"/>
        </w:rPr>
      </w:pPr>
    </w:p>
    <w:p>
      <w:pPr>
        <w:pStyle w:val="22"/>
        <w:numPr>
          <w:ilvl w:val="0"/>
          <w:numId w:val="5"/>
        </w:numPr>
        <w:jc w:val="center"/>
        <w:rPr>
          <w:rFonts w:ascii="宋体" w:hAnsi="宋体"/>
          <w:kern w:val="0"/>
          <w:sz w:val="24"/>
        </w:rPr>
      </w:pPr>
      <w:r>
        <w:rPr>
          <w:rFonts w:hint="eastAsia" w:ascii="宋体" w:hAnsi="宋体"/>
          <w:kern w:val="0"/>
          <w:sz w:val="24"/>
        </w:rPr>
        <w:t xml:space="preserve">   合同主要条款</w:t>
      </w:r>
    </w:p>
    <w:p>
      <w:pPr>
        <w:jc w:val="center"/>
        <w:rPr>
          <w:rFonts w:ascii="黑体" w:hAnsi="黑体" w:eastAsia="黑体" w:cs="黑体"/>
          <w:sz w:val="44"/>
          <w:szCs w:val="44"/>
        </w:rPr>
      </w:pPr>
      <w:r>
        <w:rPr>
          <w:rFonts w:hint="eastAsia" w:ascii="黑体" w:hAnsi="黑体" w:eastAsia="黑体" w:cs="黑体"/>
          <w:sz w:val="44"/>
          <w:szCs w:val="44"/>
        </w:rPr>
        <w:t>教工餐厅厨房劳务外包协议</w:t>
      </w:r>
    </w:p>
    <w:p>
      <w:pPr>
        <w:spacing w:line="560" w:lineRule="exact"/>
        <w:rPr>
          <w:rFonts w:ascii="仿宋" w:hAnsi="仿宋" w:eastAsia="仿宋" w:cs="仿宋"/>
          <w:b/>
          <w:bCs/>
          <w:sz w:val="28"/>
          <w:szCs w:val="28"/>
        </w:rPr>
      </w:pPr>
      <w:r>
        <w:rPr>
          <w:rFonts w:hint="eastAsia" w:ascii="仿宋" w:hAnsi="仿宋" w:eastAsia="仿宋" w:cs="仿宋"/>
          <w:b/>
          <w:bCs/>
          <w:sz w:val="28"/>
          <w:szCs w:val="28"/>
        </w:rPr>
        <w:t>甲方:江苏师范大学科文学院</w:t>
      </w:r>
    </w:p>
    <w:p>
      <w:pPr>
        <w:spacing w:line="560" w:lineRule="exact"/>
        <w:rPr>
          <w:rFonts w:ascii="仿宋" w:hAnsi="仿宋" w:eastAsia="仿宋" w:cs="仿宋"/>
          <w:b/>
          <w:bCs/>
          <w:sz w:val="28"/>
          <w:szCs w:val="28"/>
        </w:rPr>
      </w:pPr>
      <w:r>
        <w:rPr>
          <w:rFonts w:hint="eastAsia" w:ascii="仿宋" w:hAnsi="仿宋" w:eastAsia="仿宋" w:cs="仿宋"/>
          <w:b/>
          <w:bCs/>
          <w:sz w:val="28"/>
          <w:szCs w:val="28"/>
        </w:rPr>
        <w:t>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甲乙双方协商，在遵守国家法律、法规、规章的前提下，本着公平、互惠互利的原则，签订本协议。</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一、工作内容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甲方聘请乙方工作人员承担教工餐厅厨房岗位工作。</w:t>
      </w:r>
    </w:p>
    <w:p>
      <w:pPr>
        <w:spacing w:line="56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合同期限</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kern w:val="2"/>
          <w:sz w:val="28"/>
          <w:szCs w:val="28"/>
          <w:lang w:val="en-US" w:eastAsia="zh-CN"/>
        </w:rPr>
        <w:t>一年，</w:t>
      </w:r>
      <w:r>
        <w:rPr>
          <w:rFonts w:hint="eastAsia" w:ascii="仿宋" w:hAnsi="仿宋" w:eastAsia="仿宋" w:cs="仿宋"/>
          <w:kern w:val="2"/>
          <w:sz w:val="28"/>
          <w:szCs w:val="28"/>
        </w:rPr>
        <w:t>2025年2月20日至2026年2月19日，在1年服务期内无服务问题，且无违法、违规、违约和安全责任事故的，中期考核合格后（每年由学院管理部门组织考核），</w:t>
      </w:r>
      <w:r>
        <w:rPr>
          <w:rFonts w:hint="eastAsia" w:ascii="仿宋" w:hAnsi="仿宋" w:eastAsia="仿宋" w:cs="仿宋"/>
          <w:kern w:val="2"/>
          <w:sz w:val="28"/>
          <w:szCs w:val="28"/>
          <w:lang w:val="en-US" w:eastAsia="zh-CN"/>
        </w:rPr>
        <w:t>甲方视情况可与乙方续签</w:t>
      </w:r>
      <w:r>
        <w:rPr>
          <w:rFonts w:hint="eastAsia" w:ascii="仿宋" w:hAnsi="仿宋" w:eastAsia="仿宋" w:cs="仿宋"/>
          <w:kern w:val="2"/>
          <w:sz w:val="28"/>
          <w:szCs w:val="28"/>
        </w:rPr>
        <w:t>第二年合同。</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三、甲方的权利义务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1.甲方为乙方提供工作所需的设备和良好的工作环境。</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2.甲方按月支付乙方劳务</w:t>
      </w:r>
      <w:r>
        <w:rPr>
          <w:rFonts w:hint="eastAsia" w:ascii="仿宋" w:hAnsi="仿宋" w:eastAsia="仿宋" w:cs="仿宋"/>
          <w:sz w:val="28"/>
          <w:szCs w:val="28"/>
          <w:lang w:val="en-US" w:eastAsia="zh-CN"/>
        </w:rPr>
        <w:t>外包</w:t>
      </w:r>
      <w:r>
        <w:rPr>
          <w:rFonts w:hint="eastAsia" w:ascii="仿宋" w:hAnsi="仿宋" w:eastAsia="仿宋" w:cs="仿宋"/>
          <w:sz w:val="28"/>
          <w:szCs w:val="28"/>
        </w:rPr>
        <w:t>服务费，不得无故拖欠，每月16日前，支付乙方上月</w:t>
      </w:r>
      <w:r>
        <w:rPr>
          <w:rFonts w:hint="eastAsia" w:ascii="仿宋" w:hAnsi="仿宋" w:eastAsia="仿宋" w:cs="仿宋"/>
          <w:sz w:val="28"/>
          <w:szCs w:val="28"/>
          <w:lang w:val="en-US" w:eastAsia="zh-CN"/>
        </w:rPr>
        <w:t>费用</w:t>
      </w:r>
      <w:r>
        <w:rPr>
          <w:rFonts w:hint="eastAsia" w:ascii="仿宋" w:hAnsi="仿宋" w:eastAsia="仿宋" w:cs="仿宋"/>
          <w:sz w:val="28"/>
          <w:szCs w:val="28"/>
        </w:rPr>
        <w:t>，以打包形式支付给乙方，乙方负责根据工作安排分发给工作人员，按  名工作人员计算，打包劳务</w:t>
      </w:r>
      <w:r>
        <w:rPr>
          <w:rFonts w:hint="eastAsia" w:ascii="仿宋" w:hAnsi="仿宋" w:eastAsia="仿宋" w:cs="仿宋"/>
          <w:sz w:val="28"/>
          <w:szCs w:val="28"/>
          <w:lang w:val="en-US" w:eastAsia="zh-CN"/>
        </w:rPr>
        <w:t>外包</w:t>
      </w:r>
      <w:r>
        <w:rPr>
          <w:rFonts w:hint="eastAsia" w:ascii="仿宋" w:hAnsi="仿宋" w:eastAsia="仿宋" w:cs="仿宋"/>
          <w:sz w:val="28"/>
          <w:szCs w:val="28"/>
        </w:rPr>
        <w:t>服务费    元/月。付款前，乙方应提供合规发票。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3.为保障待遇兑现情况，甲方有权定期核查厨房工作人员工伤保险、雇主责任险等保险缴纳情况，乙方需予以配合，未按期缴纳保险的工作人员暂缓到岗。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4.甲方为乙方提供2间住宿房间</w:t>
      </w:r>
      <w:r>
        <w:rPr>
          <w:rFonts w:hint="eastAsia" w:ascii="仿宋" w:hAnsi="仿宋" w:eastAsia="仿宋" w:cs="仿宋"/>
          <w:color w:val="000000" w:themeColor="text1"/>
          <w:sz w:val="28"/>
          <w:szCs w:val="28"/>
          <w14:textFill>
            <w14:solidFill>
              <w14:schemeClr w14:val="tx1"/>
            </w14:solidFill>
          </w14:textFill>
        </w:rPr>
        <w:t>(房间不收费，需按住宿人数交押金，水电、洗浴费用按实际使用乙方自己缴纳）</w:t>
      </w:r>
      <w:r>
        <w:rPr>
          <w:rFonts w:hint="eastAsia" w:ascii="仿宋" w:hAnsi="仿宋" w:eastAsia="仿宋" w:cs="仿宋"/>
          <w:sz w:val="28"/>
          <w:szCs w:val="28"/>
        </w:rPr>
        <w:t>，在校住宿期间需遵守甲方相关管理规定，如遇违规且拒不整改的，清退宿舍。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5.甲方对乙方派出人员的技术水平或工作表现不满意，有要求乙方更换的权利。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6.甲方为乙方工作人员办理车辆进校通行证，乙方工作人员在校工作期间如违反校园交通安全管理规定，甲方有权拒绝相关工作人员车辆入校。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甲方根据《江苏师范大学科文学院饮食服务安全生产与服务质量监控检查实施办法（试行）》相关内容对乙方进行考核，如严重违反安全生产、食品安全相关要求拒不整改或造成责任事故的，甲方可单方面解除合约，乙方自担一切损失。</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四、乙方的权利义务</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1.乙方确保派出的厨师均为3年以上具有餐饮岗位工作经验的熟练操作技能人员，确保相关人员无犯罪记录，上岗前已办理健康证且在有效期内。</w:t>
      </w:r>
    </w:p>
    <w:p>
      <w:pPr>
        <w:spacing w:line="560" w:lineRule="exact"/>
        <w:ind w:firstLine="560" w:firstLineChars="200"/>
        <w:rPr>
          <w:rFonts w:ascii="仿宋" w:hAnsi="仿宋" w:eastAsia="仿宋" w:cs="仿宋"/>
          <w:sz w:val="28"/>
          <w:szCs w:val="28"/>
        </w:rPr>
      </w:pPr>
      <w:r>
        <w:rPr>
          <w:rFonts w:hint="eastAsia" w:ascii="仿宋" w:hAnsi="仿宋" w:eastAsia="仿宋" w:cs="仿宋"/>
          <w:color w:val="auto"/>
          <w:sz w:val="28"/>
          <w:szCs w:val="28"/>
        </w:rPr>
        <w:t>2.乙方根据甲方要求组织安排不少于6人负责教工餐厅厨房内各技术岗位工作，负责根据岗位要求和工作实际确定薪资方案，承担工作人员工伤保险、雇主责任险等保险缴纳及赔偿责</w:t>
      </w:r>
      <w:r>
        <w:rPr>
          <w:rFonts w:hint="eastAsia" w:ascii="仿宋" w:hAnsi="仿宋" w:eastAsia="仿宋" w:cs="仿宋"/>
          <w:sz w:val="28"/>
          <w:szCs w:val="28"/>
        </w:rPr>
        <w:t>任。乙方应合法用工，乙方选派的工作人员的劳务纠纷由乙方承担解决，合同延续期间不得因劳务纠纷影响甲方教工餐厅正常供餐。</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3.乙方配备的人员应保证甲方中、晚两餐的正常运营（特殊情况有早餐），总人数及各岗位人数应经过甲方同意，不得擅自增加或减少。乙方应有一定的人员储备，保障甲方重大任务或紧急任务的完成。</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4.乙方及其派出的人员应严格遵守甲方的各项制度，乙方每次调整人员前，应经甲方同意，并要告知调整的人员遵守甲方的各项制度。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5.乙方有责任配合仓管人员对原材料验收，保证原材料质量合格、价格合理，协助做好成本核算。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6.乙方要确保厨房人员在菜品制作过程中操作规范、安全，保持厨房卫生，保证食堂生产安全、食品安全，提高所有菜肴的出品质量。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7.乙方要根据季节调整菜肴口味，结合师生建议与意见不断推出新菜，提高师生满意度。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8.乙方要按照甲方要求准确掌握控制毛利率，制作菜品过程杜绝浪费。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9.乙方派出的人员因违规操作造成的事故及损失，由乙方承担。</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五、合同的变更和解除</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1.合同期未满，</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由于校园基本建设、拆迁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政策调整</w:t>
      </w:r>
      <w:r>
        <w:rPr>
          <w:rFonts w:hint="eastAsia" w:ascii="仿宋" w:hAnsi="仿宋" w:eastAsia="仿宋" w:cs="仿宋"/>
          <w:color w:val="auto"/>
          <w:sz w:val="28"/>
          <w:szCs w:val="28"/>
        </w:rPr>
        <w:t>等原因需要终止合同时，</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rPr>
        <w:t>提前两个月通知</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合同自动终止</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乙方不得追究甲方任何责任</w:t>
      </w:r>
      <w:r>
        <w:rPr>
          <w:rFonts w:hint="eastAsia" w:ascii="仿宋" w:hAnsi="仿宋" w:eastAsia="仿宋" w:cs="仿宋"/>
          <w:color w:val="auto"/>
          <w:sz w:val="28"/>
          <w:szCs w:val="28"/>
        </w:rPr>
        <w:t>。</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如乙方无故提前终止合同或</w:t>
      </w:r>
      <w:r>
        <w:rPr>
          <w:rFonts w:hint="eastAsia" w:ascii="仿宋" w:hAnsi="仿宋" w:eastAsia="仿宋" w:cs="仿宋"/>
          <w:color w:val="auto"/>
          <w:sz w:val="28"/>
          <w:szCs w:val="28"/>
        </w:rPr>
        <w:t>因</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经营</w:t>
      </w:r>
      <w:r>
        <w:rPr>
          <w:rFonts w:hint="eastAsia" w:ascii="仿宋" w:hAnsi="仿宋" w:eastAsia="仿宋" w:cs="仿宋"/>
          <w:color w:val="auto"/>
          <w:sz w:val="28"/>
          <w:szCs w:val="28"/>
          <w:lang w:val="en-US" w:eastAsia="zh-CN"/>
        </w:rPr>
        <w:t>管理</w:t>
      </w:r>
      <w:r>
        <w:rPr>
          <w:rFonts w:hint="eastAsia" w:ascii="仿宋" w:hAnsi="仿宋" w:eastAsia="仿宋" w:cs="仿宋"/>
          <w:color w:val="auto"/>
          <w:sz w:val="28"/>
          <w:szCs w:val="28"/>
        </w:rPr>
        <w:t>不善</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rPr>
        <w:t>终止合同</w:t>
      </w:r>
      <w:r>
        <w:rPr>
          <w:rFonts w:hint="eastAsia" w:ascii="仿宋" w:hAnsi="仿宋" w:eastAsia="仿宋" w:cs="仿宋"/>
          <w:color w:val="auto"/>
          <w:sz w:val="28"/>
          <w:szCs w:val="28"/>
          <w:lang w:val="en-US" w:eastAsia="zh-CN"/>
        </w:rPr>
        <w:t>或乙方</w:t>
      </w:r>
      <w:r>
        <w:rPr>
          <w:rFonts w:hint="eastAsia" w:ascii="仿宋" w:hAnsi="仿宋" w:eastAsia="仿宋" w:cs="仿宋"/>
          <w:color w:val="auto"/>
          <w:sz w:val="28"/>
          <w:szCs w:val="28"/>
        </w:rPr>
        <w:t>不经同意自</w:t>
      </w:r>
      <w:r>
        <w:rPr>
          <w:rFonts w:hint="eastAsia" w:ascii="仿宋" w:hAnsi="仿宋" w:eastAsia="仿宋" w:cs="仿宋"/>
          <w:color w:val="auto"/>
          <w:sz w:val="28"/>
          <w:szCs w:val="28"/>
          <w:lang w:val="en-US" w:eastAsia="zh-CN"/>
        </w:rPr>
        <w:t>行停止经营或乙方出现违规、责任事故等需终止合同，视为乙方违约，甲方有权扣除乙方全额履约保证金及一个月劳务外包服务费。对甲方造成损失的，甲方将根据影响轻重同时给予一定数额的经济处罚，直至追究法律责任。</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、合同文件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下列文件是构成本合同不可分割的部分，与合同具有同等法律效力。</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磋商</w:t>
      </w:r>
      <w:r>
        <w:rPr>
          <w:rFonts w:hint="eastAsia" w:ascii="仿宋" w:hAnsi="仿宋" w:eastAsia="仿宋" w:cs="仿宋"/>
          <w:sz w:val="28"/>
          <w:szCs w:val="28"/>
        </w:rPr>
        <w:t>文件。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2．乙方提交的投标书。</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3．乙方投标书的其他资料及承诺。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、本合同发生争议产生的诉讼，由合同签订地人民法院管辖，本合同签订地为甲方所在地。</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、合同一经双方签字，并加盖公章即为生效。合同文本一式陆份，甲方肆份，乙方贰份。未尽事宜，双方协商解决。</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、为确保在履行合同、解决合同纠纷时通知及时生效，特约定双方联系人及联系方式，甲方按照合同约定联络方式进行的通知一经到达，无论乙方回复与否，均视为有效送达。</w:t>
      </w:r>
    </w:p>
    <w:tbl>
      <w:tblPr>
        <w:tblStyle w:val="31"/>
        <w:tblpPr w:leftFromText="180" w:rightFromText="180" w:vertAnchor="text" w:horzAnchor="page" w:tblpX="1268" w:tblpY="162"/>
        <w:tblOverlap w:val="never"/>
        <w:tblW w:w="0" w:type="auto"/>
        <w:tblInd w:w="0" w:type="dxa"/>
        <w:tblLayout w:type="fixed"/>
        <w:tblCellMar>
          <w:top w:w="0" w:type="dxa"/>
          <w:left w:w="108" w:type="dxa"/>
          <w:bottom w:w="0" w:type="dxa"/>
          <w:right w:w="108" w:type="dxa"/>
        </w:tblCellMar>
      </w:tblPr>
      <w:tblGrid>
        <w:gridCol w:w="3284"/>
        <w:gridCol w:w="3285"/>
        <w:gridCol w:w="3285"/>
      </w:tblGrid>
      <w:tr>
        <w:tblPrEx>
          <w:tblCellMar>
            <w:top w:w="0" w:type="dxa"/>
            <w:left w:w="108" w:type="dxa"/>
            <w:bottom w:w="0" w:type="dxa"/>
            <w:right w:w="108" w:type="dxa"/>
          </w:tblCellMar>
        </w:tblPrEx>
        <w:tc>
          <w:tcPr>
            <w:tcW w:w="3284" w:type="dxa"/>
            <w:noWrap w:val="0"/>
            <w:vAlign w:val="top"/>
          </w:tcPr>
          <w:p>
            <w:pPr>
              <w:spacing w:line="360" w:lineRule="auto"/>
              <w:ind w:firstLine="240" w:firstLineChars="100"/>
              <w:rPr>
                <w:rFonts w:hint="eastAsia" w:ascii="宋体" w:hAnsi="宋体" w:cs="宋体"/>
                <w:sz w:val="24"/>
              </w:rPr>
            </w:pPr>
            <w:r>
              <w:rPr>
                <w:rFonts w:hint="eastAsia" w:ascii="宋体" w:hAnsi="宋体" w:cs="宋体"/>
                <w:sz w:val="24"/>
              </w:rPr>
              <w:t xml:space="preserve">甲方联系人：            </w:t>
            </w:r>
          </w:p>
        </w:tc>
        <w:tc>
          <w:tcPr>
            <w:tcW w:w="3285" w:type="dxa"/>
            <w:noWrap w:val="0"/>
            <w:vAlign w:val="top"/>
          </w:tcPr>
          <w:p>
            <w:pPr>
              <w:spacing w:line="360" w:lineRule="auto"/>
              <w:rPr>
                <w:rFonts w:hint="eastAsia" w:ascii="宋体" w:hAnsi="宋体" w:cs="宋体"/>
                <w:sz w:val="24"/>
              </w:rPr>
            </w:pPr>
            <w:r>
              <w:rPr>
                <w:rFonts w:hint="eastAsia" w:ascii="宋体" w:hAnsi="宋体" w:cs="宋体"/>
                <w:color w:val="000000"/>
                <w:sz w:val="24"/>
              </w:rPr>
              <w:t xml:space="preserve">联系电话：                 </w:t>
            </w:r>
          </w:p>
        </w:tc>
        <w:tc>
          <w:tcPr>
            <w:tcW w:w="3285" w:type="dxa"/>
            <w:noWrap w:val="0"/>
            <w:vAlign w:val="top"/>
          </w:tcPr>
          <w:p>
            <w:pPr>
              <w:spacing w:line="360" w:lineRule="auto"/>
              <w:rPr>
                <w:rFonts w:hint="eastAsia" w:ascii="宋体" w:hAnsi="宋体" w:cs="宋体"/>
                <w:sz w:val="24"/>
              </w:rPr>
            </w:pPr>
            <w:r>
              <w:rPr>
                <w:rFonts w:hint="eastAsia" w:ascii="宋体" w:hAnsi="宋体" w:cs="宋体"/>
                <w:color w:val="000000"/>
                <w:sz w:val="24"/>
              </w:rPr>
              <w:t xml:space="preserve">邮箱：                   </w:t>
            </w:r>
          </w:p>
        </w:tc>
      </w:tr>
      <w:tr>
        <w:tblPrEx>
          <w:tblCellMar>
            <w:top w:w="0" w:type="dxa"/>
            <w:left w:w="108" w:type="dxa"/>
            <w:bottom w:w="0" w:type="dxa"/>
            <w:right w:w="108" w:type="dxa"/>
          </w:tblCellMar>
        </w:tblPrEx>
        <w:tc>
          <w:tcPr>
            <w:tcW w:w="3284" w:type="dxa"/>
            <w:noWrap w:val="0"/>
            <w:vAlign w:val="top"/>
          </w:tcPr>
          <w:p>
            <w:pPr>
              <w:spacing w:line="360" w:lineRule="auto"/>
              <w:ind w:firstLine="240" w:firstLineChars="100"/>
              <w:rPr>
                <w:rFonts w:hint="eastAsia" w:ascii="宋体" w:hAnsi="宋体" w:cs="宋体"/>
                <w:sz w:val="24"/>
              </w:rPr>
            </w:pPr>
            <w:r>
              <w:rPr>
                <w:rFonts w:hint="eastAsia" w:ascii="宋体" w:hAnsi="宋体" w:cs="宋体"/>
                <w:sz w:val="24"/>
              </w:rPr>
              <w:t xml:space="preserve">乙方联系人：            </w:t>
            </w:r>
          </w:p>
        </w:tc>
        <w:tc>
          <w:tcPr>
            <w:tcW w:w="3285" w:type="dxa"/>
            <w:noWrap w:val="0"/>
            <w:vAlign w:val="top"/>
          </w:tcPr>
          <w:p>
            <w:pPr>
              <w:spacing w:line="360" w:lineRule="auto"/>
              <w:rPr>
                <w:rFonts w:hint="eastAsia" w:ascii="宋体" w:hAnsi="宋体" w:cs="宋体"/>
                <w:sz w:val="24"/>
              </w:rPr>
            </w:pPr>
            <w:r>
              <w:rPr>
                <w:rFonts w:hint="eastAsia" w:ascii="宋体" w:hAnsi="宋体" w:cs="宋体"/>
                <w:color w:val="000000"/>
                <w:sz w:val="24"/>
              </w:rPr>
              <w:t xml:space="preserve">联系电话：                 </w:t>
            </w:r>
          </w:p>
        </w:tc>
        <w:tc>
          <w:tcPr>
            <w:tcW w:w="3285" w:type="dxa"/>
            <w:noWrap w:val="0"/>
            <w:vAlign w:val="top"/>
          </w:tcPr>
          <w:p>
            <w:pPr>
              <w:spacing w:line="360" w:lineRule="auto"/>
              <w:rPr>
                <w:rFonts w:hint="eastAsia" w:ascii="宋体" w:hAnsi="宋体" w:cs="宋体"/>
                <w:sz w:val="24"/>
              </w:rPr>
            </w:pPr>
            <w:r>
              <w:rPr>
                <w:rFonts w:hint="eastAsia" w:ascii="宋体" w:hAnsi="宋体" w:cs="宋体"/>
                <w:color w:val="000000"/>
                <w:sz w:val="24"/>
              </w:rPr>
              <w:t xml:space="preserve">邮箱：                   </w:t>
            </w:r>
          </w:p>
        </w:tc>
      </w:tr>
    </w:tbl>
    <w:p>
      <w:pPr>
        <w:spacing w:line="560" w:lineRule="exact"/>
        <w:ind w:firstLine="560" w:firstLineChars="200"/>
        <w:rPr>
          <w:rFonts w:hint="eastAsia" w:ascii="仿宋" w:hAnsi="仿宋" w:eastAsia="仿宋" w:cs="仿宋"/>
          <w:color w:val="FF0000"/>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甲方（盖章）：江苏师范大学科文学院  </w:t>
      </w:r>
    </w:p>
    <w:p>
      <w:pPr>
        <w:rPr>
          <w:rFonts w:ascii="仿宋" w:hAnsi="仿宋" w:eastAsia="仿宋" w:cs="仿宋"/>
          <w:sz w:val="28"/>
          <w:szCs w:val="28"/>
        </w:rPr>
      </w:pPr>
      <w:r>
        <w:rPr>
          <w:rFonts w:hint="eastAsia" w:ascii="仿宋" w:hAnsi="仿宋" w:eastAsia="仿宋" w:cs="仿宋"/>
          <w:sz w:val="28"/>
          <w:szCs w:val="28"/>
        </w:rPr>
        <w:t>代表（签字）：</w:t>
      </w:r>
    </w:p>
    <w:p>
      <w:pPr>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乙方（盖章）：</w:t>
      </w:r>
    </w:p>
    <w:p>
      <w:pPr>
        <w:rPr>
          <w:rFonts w:ascii="仿宋" w:hAnsi="仿宋" w:eastAsia="仿宋" w:cs="仿宋"/>
          <w:sz w:val="28"/>
          <w:szCs w:val="28"/>
        </w:rPr>
      </w:pPr>
      <w:r>
        <w:rPr>
          <w:rFonts w:hint="eastAsia" w:ascii="仿宋" w:hAnsi="仿宋" w:eastAsia="仿宋" w:cs="仿宋"/>
          <w:sz w:val="28"/>
          <w:szCs w:val="28"/>
        </w:rPr>
        <w:t>代表（签字）：</w:t>
      </w:r>
    </w:p>
    <w:p>
      <w:pPr>
        <w:rPr>
          <w:rFonts w:ascii="仿宋" w:hAnsi="仿宋" w:eastAsia="仿宋" w:cs="仿宋"/>
          <w:sz w:val="28"/>
          <w:szCs w:val="28"/>
        </w:rPr>
      </w:pPr>
      <w:r>
        <w:rPr>
          <w:rFonts w:hint="eastAsia" w:ascii="仿宋" w:hAnsi="仿宋" w:eastAsia="仿宋" w:cs="仿宋"/>
          <w:sz w:val="28"/>
          <w:szCs w:val="28"/>
        </w:rPr>
        <w:t>日期：</w:t>
      </w:r>
    </w:p>
    <w:p/>
    <w:p/>
    <w:p/>
    <w:p/>
    <w:p/>
    <w:p/>
    <w:p/>
    <w:p/>
    <w:p/>
    <w:p/>
    <w:p/>
    <w:p/>
    <w:p/>
    <w:p/>
    <w:p/>
    <w:p/>
    <w:p/>
    <w:p/>
    <w:p/>
    <w:p/>
    <w:p/>
    <w:p/>
    <w:p/>
    <w:p>
      <w:pPr>
        <w:sectPr>
          <w:footerReference r:id="rId3" w:type="default"/>
          <w:pgSz w:w="11906" w:h="16838"/>
          <w:pgMar w:top="1383" w:right="1080" w:bottom="986" w:left="1080" w:header="851" w:footer="709" w:gutter="0"/>
          <w:cols w:space="720" w:num="1"/>
          <w:docGrid w:linePitch="312" w:charSpace="0"/>
        </w:sectPr>
      </w:pPr>
    </w:p>
    <w:p>
      <w:pPr>
        <w:pStyle w:val="22"/>
        <w:jc w:val="center"/>
        <w:rPr>
          <w:rFonts w:ascii="宋体" w:hAnsi="宋体"/>
          <w:kern w:val="0"/>
          <w:sz w:val="24"/>
        </w:rPr>
      </w:pPr>
      <w:r>
        <w:rPr>
          <w:rFonts w:hint="eastAsia" w:ascii="宋体" w:hAnsi="宋体"/>
          <w:kern w:val="0"/>
          <w:sz w:val="24"/>
        </w:rPr>
        <w:t>第四章    投标文件格式</w:t>
      </w: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37"/>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 总则 二、投标文件 4.投标文件的编制</w:t>
      </w:r>
      <w:r>
        <w:rPr>
          <w:rFonts w:hint="eastAsia"/>
          <w:sz w:val="24"/>
          <w:szCs w:val="24"/>
        </w:rPr>
        <w:t>”要求进行，混乱的编排以致投标文件被误读或采购人查找不到有效文件，后果由投标人承担。</w:t>
      </w:r>
    </w:p>
    <w:p>
      <w:pPr>
        <w:pStyle w:val="37"/>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37"/>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37"/>
        <w:numPr>
          <w:ilvl w:val="0"/>
          <w:numId w:val="0"/>
        </w:numPr>
        <w:rPr>
          <w:b/>
          <w:sz w:val="24"/>
          <w:szCs w:val="24"/>
        </w:rPr>
      </w:pPr>
      <w:r>
        <w:rPr>
          <w:rFonts w:hint="eastAsia"/>
          <w:b/>
          <w:sz w:val="24"/>
          <w:szCs w:val="24"/>
        </w:rPr>
        <w:br w:type="page"/>
      </w:r>
      <w:r>
        <w:rPr>
          <w:rFonts w:hint="eastAsia"/>
          <w:b/>
          <w:sz w:val="24"/>
          <w:szCs w:val="24"/>
        </w:rPr>
        <w:t>(一)投标函</w:t>
      </w:r>
    </w:p>
    <w:p>
      <w:pPr>
        <w:pStyle w:val="40"/>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37"/>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sz w:val="24"/>
          <w:szCs w:val="24"/>
          <w:u w:val="single"/>
        </w:rPr>
        <w:t>90日内</w:t>
      </w:r>
      <w:r>
        <w:rPr>
          <w:rFonts w:hint="eastAsia"/>
          <w:sz w:val="24"/>
          <w:szCs w:val="24"/>
        </w:rPr>
        <w:t>遵守本文中的承诺且在此期限期满之前均具有约束力。</w:t>
      </w:r>
    </w:p>
    <w:p>
      <w:pPr>
        <w:pStyle w:val="37"/>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37"/>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37"/>
        <w:numPr>
          <w:ilvl w:val="0"/>
          <w:numId w:val="0"/>
        </w:numPr>
        <w:ind w:left="2" w:leftChars="1" w:firstLine="480" w:firstLineChars="200"/>
        <w:rPr>
          <w:sz w:val="24"/>
          <w:szCs w:val="24"/>
        </w:rPr>
      </w:pPr>
      <w:r>
        <w:rPr>
          <w:rFonts w:hint="eastAsia"/>
          <w:sz w:val="24"/>
          <w:szCs w:val="24"/>
        </w:rPr>
        <w:t>4.保证忠实执行双方签订的合同，并承担合同规定的责任和义务。</w:t>
      </w:r>
    </w:p>
    <w:p>
      <w:pPr>
        <w:pStyle w:val="37"/>
        <w:numPr>
          <w:ilvl w:val="0"/>
          <w:numId w:val="0"/>
        </w:numPr>
        <w:ind w:left="2" w:leftChars="1" w:firstLine="480" w:firstLineChars="200"/>
        <w:rPr>
          <w:sz w:val="24"/>
          <w:szCs w:val="24"/>
        </w:rPr>
      </w:pPr>
      <w:r>
        <w:rPr>
          <w:rFonts w:hint="eastAsia"/>
          <w:sz w:val="24"/>
          <w:szCs w:val="24"/>
        </w:rPr>
        <w:t>5.保证遵守招标文件的各项规定。</w:t>
      </w:r>
    </w:p>
    <w:p>
      <w:pPr>
        <w:pStyle w:val="37"/>
        <w:numPr>
          <w:ilvl w:val="0"/>
          <w:numId w:val="0"/>
        </w:numPr>
        <w:ind w:left="2" w:leftChars="1" w:firstLine="480" w:firstLineChars="200"/>
        <w:rPr>
          <w:sz w:val="24"/>
          <w:szCs w:val="24"/>
        </w:rPr>
      </w:pPr>
      <w:r>
        <w:rPr>
          <w:rFonts w:hint="eastAsia"/>
          <w:sz w:val="24"/>
          <w:szCs w:val="24"/>
        </w:rPr>
        <w:t>6.如果在规定的投标有效期内撤回投标，我方同意将被列入不良记录名单。</w:t>
      </w:r>
    </w:p>
    <w:p>
      <w:pPr>
        <w:pStyle w:val="37"/>
        <w:numPr>
          <w:ilvl w:val="0"/>
          <w:numId w:val="0"/>
        </w:numPr>
        <w:ind w:left="2" w:leftChars="1" w:firstLine="480" w:firstLineChars="200"/>
        <w:rPr>
          <w:sz w:val="24"/>
          <w:szCs w:val="24"/>
        </w:rPr>
      </w:pPr>
      <w:r>
        <w:rPr>
          <w:rFonts w:hint="eastAsia"/>
          <w:sz w:val="24"/>
          <w:szCs w:val="24"/>
        </w:rPr>
        <w:t>7.我方完全理解贵方不一定接受最低价的投标。</w:t>
      </w:r>
    </w:p>
    <w:p>
      <w:pPr>
        <w:pStyle w:val="37"/>
        <w:numPr>
          <w:ilvl w:val="0"/>
          <w:numId w:val="0"/>
        </w:numPr>
        <w:ind w:left="2" w:leftChars="1" w:firstLine="480" w:firstLineChars="200"/>
        <w:rPr>
          <w:sz w:val="24"/>
          <w:szCs w:val="24"/>
        </w:rPr>
      </w:pPr>
      <w:r>
        <w:rPr>
          <w:rFonts w:hint="eastAsia"/>
          <w:sz w:val="24"/>
          <w:szCs w:val="24"/>
        </w:rPr>
        <w:t>8.我方愿意向贵方提供任何与本项投标有关的数据、情况和技术资料。如果贵方需要，我方愿意提供我方做出的一切承诺的证明材料。</w:t>
      </w:r>
    </w:p>
    <w:p>
      <w:pPr>
        <w:pStyle w:val="37"/>
        <w:numPr>
          <w:ilvl w:val="0"/>
          <w:numId w:val="0"/>
        </w:numPr>
        <w:ind w:left="2" w:leftChars="1" w:firstLine="480" w:firstLineChars="200"/>
        <w:rPr>
          <w:sz w:val="24"/>
          <w:szCs w:val="24"/>
        </w:rPr>
      </w:pPr>
      <w:r>
        <w:rPr>
          <w:rFonts w:hint="eastAsia"/>
          <w:sz w:val="24"/>
          <w:szCs w:val="24"/>
        </w:rPr>
        <w:t>9.我方承诺：采购人如果需追加采购本项目招标文件所列货物及相关服务的，在不改变合同其他实质性条款的前提下，按相同或更优惠的折扣保证供货。</w:t>
      </w:r>
    </w:p>
    <w:p>
      <w:pPr>
        <w:pStyle w:val="37"/>
        <w:numPr>
          <w:ilvl w:val="0"/>
          <w:numId w:val="0"/>
        </w:numPr>
        <w:ind w:left="2" w:leftChars="1" w:firstLine="480" w:firstLineChars="200"/>
        <w:rPr>
          <w:sz w:val="24"/>
          <w:szCs w:val="24"/>
        </w:rPr>
      </w:pPr>
      <w:r>
        <w:rPr>
          <w:rFonts w:hint="eastAsia"/>
          <w:sz w:val="24"/>
          <w:szCs w:val="24"/>
        </w:rPr>
        <w:t>10.我方承诺接受招标文件中《成交合同》的全部条款且无任何异议。</w:t>
      </w:r>
    </w:p>
    <w:p>
      <w:pPr>
        <w:pStyle w:val="37"/>
        <w:numPr>
          <w:ilvl w:val="0"/>
          <w:numId w:val="0"/>
        </w:numPr>
        <w:ind w:left="2" w:leftChars="1" w:firstLine="480" w:firstLineChars="200"/>
        <w:rPr>
          <w:sz w:val="24"/>
          <w:szCs w:val="24"/>
        </w:rPr>
      </w:pPr>
      <w:r>
        <w:rPr>
          <w:rFonts w:hint="eastAsia"/>
          <w:sz w:val="24"/>
          <w:szCs w:val="24"/>
        </w:rPr>
        <w:t>11.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6"/>
        </w:numPr>
        <w:ind w:left="0" w:firstLine="480" w:firstLineChars="200"/>
        <w:rPr>
          <w:rFonts w:ascii="宋体" w:hAnsi="宋体"/>
          <w:sz w:val="24"/>
        </w:rPr>
      </w:pPr>
      <w:r>
        <w:rPr>
          <w:rFonts w:hint="eastAsia" w:ascii="宋体" w:hAnsi="宋体"/>
          <w:sz w:val="24"/>
        </w:rPr>
        <w:t>提供虚假材料谋取成交的；</w:t>
      </w:r>
    </w:p>
    <w:p>
      <w:pPr>
        <w:numPr>
          <w:ilvl w:val="0"/>
          <w:numId w:val="6"/>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6"/>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6"/>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6"/>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6"/>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6"/>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1" w:name="_Toc20816120"/>
      <w:bookmarkStart w:id="2" w:name="_Toc20642290"/>
      <w:bookmarkStart w:id="3" w:name="_Toc20988289"/>
      <w:bookmarkStart w:id="4" w:name="_Toc21001363"/>
      <w:bookmarkStart w:id="5" w:name="_Toc21000519"/>
      <w:bookmarkStart w:id="6" w:name="_Toc36287943"/>
    </w:p>
    <w:p>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p>
      <w:pPr>
        <w:rPr>
          <w:rFonts w:cs="仿宋_GB2312"/>
          <w:b/>
        </w:rPr>
      </w:pPr>
    </w:p>
    <w:tbl>
      <w:tblPr>
        <w:tblStyle w:val="31"/>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2"/>
            <w:tcBorders>
              <w:top w:val="single" w:color="auto" w:sz="4" w:space="0"/>
              <w:left w:val="single" w:color="auto" w:sz="4" w:space="0"/>
              <w:right w:val="single" w:color="auto" w:sz="4" w:space="0"/>
            </w:tcBorders>
            <w:vAlign w:val="center"/>
          </w:tcPr>
          <w:p>
            <w:pPr>
              <w:jc w:val="left"/>
              <w:rPr>
                <w:rFonts w:ascii="宋体" w:hAnsi="宋体"/>
                <w:b/>
                <w:bCs/>
                <w:sz w:val="24"/>
                <w:u w:val="single"/>
              </w:rPr>
            </w:pPr>
            <w:r>
              <w:rPr>
                <w:rFonts w:hint="eastAsia" w:ascii="宋体" w:hAnsi="宋体"/>
                <w:b/>
                <w:bCs/>
                <w:sz w:val="24"/>
              </w:rPr>
              <w:t>项目名称：</w:t>
            </w:r>
            <w:r>
              <w:rPr>
                <w:rFonts w:hint="eastAsia" w:ascii="宋体" w:hAnsi="宋体"/>
                <w:b/>
                <w:bCs/>
                <w:sz w:val="24"/>
                <w:u w:val="single"/>
              </w:rPr>
              <w:t>江苏师范大学科文学院教工餐厅后厨劳务外包服务项目</w:t>
            </w:r>
          </w:p>
          <w:p>
            <w:pPr>
              <w:jc w:val="left"/>
              <w:rPr>
                <w:rFonts w:ascii="宋体" w:hAnsi="宋体"/>
                <w:b/>
                <w:sz w:val="24"/>
                <w:szCs w:val="28"/>
              </w:rPr>
            </w:pPr>
            <w:r>
              <w:rPr>
                <w:rFonts w:hint="eastAsia" w:ascii="宋体" w:hAnsi="宋体"/>
                <w:b/>
                <w:bCs/>
                <w:sz w:val="24"/>
              </w:rPr>
              <w:t>项目编号：</w:t>
            </w:r>
            <w:r>
              <w:rPr>
                <w:rFonts w:hint="eastAsia" w:ascii="宋体" w:hAnsi="宋体"/>
                <w:b/>
                <w:bCs/>
                <w:sz w:val="24"/>
                <w:u w:val="single"/>
              </w:rPr>
              <w:t>2025F0104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13" w:type="pct"/>
            <w:tcBorders>
              <w:top w:val="single" w:color="auto" w:sz="4" w:space="0"/>
              <w:left w:val="single" w:color="auto" w:sz="4" w:space="0"/>
              <w:right w:val="single" w:color="auto" w:sz="4" w:space="0"/>
            </w:tcBorders>
            <w:vAlign w:val="center"/>
          </w:tcPr>
          <w:p>
            <w:pPr>
              <w:pStyle w:val="37"/>
              <w:numPr>
                <w:ilvl w:val="0"/>
                <w:numId w:val="0"/>
              </w:numPr>
              <w:tabs>
                <w:tab w:val="left" w:pos="0"/>
              </w:tabs>
              <w:spacing w:line="340" w:lineRule="exact"/>
              <w:jc w:val="center"/>
              <w:rPr>
                <w:b/>
                <w:sz w:val="24"/>
                <w:szCs w:val="28"/>
              </w:rPr>
            </w:pPr>
            <w:r>
              <w:rPr>
                <w:rFonts w:hint="eastAsia" w:cs="华文楷体"/>
                <w:b/>
                <w:bCs/>
                <w:color w:val="000000"/>
                <w:sz w:val="24"/>
                <w:szCs w:val="24"/>
              </w:rPr>
              <w:t>合计（人民币）</w:t>
            </w:r>
          </w:p>
        </w:tc>
        <w:tc>
          <w:tcPr>
            <w:tcW w:w="3786"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b/>
                <w:sz w:val="24"/>
                <w:szCs w:val="28"/>
              </w:rPr>
            </w:pPr>
            <w:r>
              <w:rPr>
                <w:rFonts w:hint="eastAsia" w:ascii="宋体" w:hAnsi="宋体"/>
                <w:b/>
                <w:sz w:val="24"/>
                <w:szCs w:val="28"/>
              </w:rPr>
              <w:t>小写：¥</w:t>
            </w:r>
            <w:r>
              <w:rPr>
                <w:rFonts w:hint="eastAsia" w:ascii="宋体" w:hAnsi="宋体"/>
                <w:b/>
                <w:sz w:val="24"/>
                <w:szCs w:val="28"/>
                <w:u w:val="single"/>
              </w:rPr>
              <w:t xml:space="preserve">        </w:t>
            </w:r>
            <w:r>
              <w:rPr>
                <w:rFonts w:hint="eastAsia" w:ascii="宋体" w:hAnsi="宋体"/>
                <w:b/>
                <w:sz w:val="24"/>
                <w:szCs w:val="28"/>
              </w:rPr>
              <w:t>元/年 （大写：人民币</w:t>
            </w:r>
            <w:r>
              <w:rPr>
                <w:rFonts w:hint="eastAsia" w:ascii="宋体" w:hAnsi="宋体"/>
                <w:b/>
                <w:sz w:val="24"/>
                <w:szCs w:val="28"/>
                <w:u w:val="single"/>
              </w:rPr>
              <w:t xml:space="preserve">      </w:t>
            </w:r>
            <w:r>
              <w:rPr>
                <w:rFonts w:hint="eastAsia" w:ascii="宋体" w:hAnsi="宋体"/>
                <w:b/>
                <w:sz w:val="24"/>
                <w:szCs w:val="28"/>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spacing w:line="460" w:lineRule="exact"/>
              <w:ind w:firstLine="480"/>
              <w:jc w:val="left"/>
              <w:rPr>
                <w:rFonts w:ascii="宋体" w:hAnsi="宋体"/>
                <w:b/>
                <w:sz w:val="24"/>
                <w:szCs w:val="28"/>
              </w:rPr>
            </w:pPr>
            <w:r>
              <w:rPr>
                <w:rFonts w:hint="eastAsia" w:ascii="宋体" w:hAnsi="宋体"/>
                <w:b/>
                <w:sz w:val="24"/>
                <w:szCs w:val="28"/>
              </w:rPr>
              <w:t>备注：</w:t>
            </w:r>
          </w:p>
        </w:tc>
      </w:tr>
    </w:tbl>
    <w:p>
      <w:pPr>
        <w:spacing w:line="460" w:lineRule="exact"/>
        <w:rPr>
          <w:rFonts w:ascii="宋体" w:hAnsi="宋体"/>
          <w:b/>
          <w:szCs w:val="28"/>
        </w:rPr>
      </w:pPr>
      <w:r>
        <w:rPr>
          <w:rFonts w:hint="eastAsia" w:ascii="宋体" w:hAnsi="宋体"/>
          <w:b/>
          <w:szCs w:val="28"/>
        </w:rPr>
        <w:t>注：</w:t>
      </w:r>
      <w:r>
        <w:rPr>
          <w:rFonts w:hint="eastAsia"/>
          <w:sz w:val="24"/>
          <w:szCs w:val="24"/>
        </w:rPr>
        <w:t>投标报价包括文件规定的招标范围内产生的拟派项目服务人员支出（</w:t>
      </w:r>
      <w:r>
        <w:rPr>
          <w:rFonts w:hint="eastAsia"/>
          <w:sz w:val="24"/>
          <w:szCs w:val="24"/>
          <w:lang w:val="en-US" w:eastAsia="zh-CN"/>
        </w:rPr>
        <w:t>按</w:t>
      </w:r>
      <w:r>
        <w:rPr>
          <w:rFonts w:hint="eastAsia" w:ascii="宋体" w:hAnsi="宋体" w:cs="宋体"/>
          <w:color w:val="000000"/>
          <w:kern w:val="0"/>
          <w:sz w:val="24"/>
        </w:rPr>
        <w:t>投标</w:t>
      </w:r>
      <w:r>
        <w:rPr>
          <w:rFonts w:hint="eastAsia" w:ascii="宋体" w:hAnsi="宋体" w:cs="宋体"/>
          <w:color w:val="000000"/>
          <w:kern w:val="0"/>
          <w:sz w:val="24"/>
          <w:lang w:val="en-US" w:eastAsia="zh-CN"/>
        </w:rPr>
        <w:t>文件的</w:t>
      </w:r>
      <w:r>
        <w:rPr>
          <w:rFonts w:hint="eastAsia" w:ascii="宋体" w:hAnsi="宋体" w:cs="宋体"/>
          <w:color w:val="000000"/>
          <w:kern w:val="0"/>
          <w:sz w:val="24"/>
        </w:rPr>
        <w:t>人员配置</w:t>
      </w:r>
      <w:r>
        <w:rPr>
          <w:rFonts w:hint="eastAsia" w:cs="宋体"/>
          <w:color w:val="000000"/>
          <w:kern w:val="0"/>
          <w:sz w:val="24"/>
          <w:lang w:val="en-US" w:eastAsia="zh-CN"/>
        </w:rPr>
        <w:t>数量（不少于6人）</w:t>
      </w:r>
      <w:r>
        <w:rPr>
          <w:rFonts w:hint="eastAsia"/>
          <w:sz w:val="24"/>
          <w:szCs w:val="24"/>
        </w:rPr>
        <w:t>包括但不限于工资、加班费、超时费、社保、意外险</w:t>
      </w:r>
      <w:r>
        <w:rPr>
          <w:rFonts w:hint="eastAsia"/>
          <w:sz w:val="24"/>
          <w:szCs w:val="24"/>
          <w:lang w:eastAsia="zh-CN"/>
        </w:rPr>
        <w:t>、</w:t>
      </w:r>
      <w:r>
        <w:rPr>
          <w:rFonts w:hint="eastAsia"/>
          <w:sz w:val="24"/>
          <w:szCs w:val="24"/>
          <w:lang w:val="en-US" w:eastAsia="zh-CN"/>
        </w:rPr>
        <w:t>健康证办理</w:t>
      </w:r>
      <w:r>
        <w:rPr>
          <w:rFonts w:hint="eastAsia"/>
          <w:sz w:val="24"/>
          <w:szCs w:val="24"/>
        </w:rPr>
        <w:t>等）、设备与人员安排、应急预案、合约期的服务范围与服务项目、投标人的利润、税金和应承担的风险等所有费用。采购人不再支付报价以外的任何费用。</w:t>
      </w:r>
    </w:p>
    <w:p>
      <w:pPr>
        <w:spacing w:line="340" w:lineRule="exact"/>
        <w:ind w:firstLine="480" w:firstLineChars="200"/>
        <w:rPr>
          <w:rFonts w:ascii="宋体" w:hAnsi="宋体" w:cs="华文楷体"/>
          <w:color w:val="000000"/>
          <w:sz w:val="24"/>
        </w:rPr>
      </w:pPr>
    </w:p>
    <w:p>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pPr>
        <w:spacing w:line="340" w:lineRule="exact"/>
        <w:ind w:firstLine="480" w:firstLineChars="200"/>
        <w:rPr>
          <w:rFonts w:ascii="宋体" w:hAnsi="宋体" w:cs="华文楷体"/>
          <w:color w:val="000000"/>
          <w:sz w:val="24"/>
          <w:u w:val="single"/>
        </w:rPr>
      </w:pP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pPr>
        <w:spacing w:line="340" w:lineRule="exact"/>
        <w:ind w:firstLine="4560" w:firstLineChars="1900"/>
        <w:rPr>
          <w:rFonts w:ascii="宋体" w:hAnsi="宋体" w:cs="华文楷体"/>
          <w:color w:val="000000"/>
          <w:sz w:val="24"/>
        </w:rPr>
      </w:pPr>
    </w:p>
    <w:p>
      <w:pPr>
        <w:spacing w:line="340" w:lineRule="exact"/>
        <w:ind w:firstLine="480" w:firstLineChars="200"/>
        <w:rPr>
          <w:rFonts w:ascii="宋体" w:hAnsi="宋体" w:cs="华文楷体"/>
          <w:color w:val="000000"/>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pPr>
        <w:pStyle w:val="44"/>
        <w:tabs>
          <w:tab w:val="left" w:pos="970"/>
        </w:tabs>
        <w:jc w:val="left"/>
        <w:rPr>
          <w:b/>
          <w:bCs/>
          <w:color w:val="000000"/>
          <w:lang w:val="en-US" w:eastAsia="zh-CN"/>
        </w:rPr>
      </w:pPr>
    </w:p>
    <w:p>
      <w:pPr>
        <w:jc w:val="left"/>
        <w:rPr>
          <w:rFonts w:ascii="宋体" w:hAnsi="宋体"/>
          <w:b/>
          <w:bCs/>
          <w:kern w:val="0"/>
          <w:sz w:val="24"/>
        </w:rPr>
      </w:pPr>
    </w:p>
    <w:p>
      <w:pPr>
        <w:numPr>
          <w:ilvl w:val="0"/>
          <w:numId w:val="7"/>
        </w:numPr>
        <w:jc w:val="left"/>
        <w:rPr>
          <w:rFonts w:ascii="宋体" w:hAnsi="宋体"/>
          <w:b/>
          <w:bCs/>
          <w:kern w:val="0"/>
          <w:sz w:val="24"/>
        </w:rPr>
      </w:pPr>
      <w:r>
        <w:rPr>
          <w:rFonts w:hint="eastAsia" w:ascii="宋体" w:hAnsi="宋体"/>
          <w:b/>
          <w:bCs/>
          <w:kern w:val="0"/>
          <w:sz w:val="24"/>
        </w:rPr>
        <w:t>投标报价明细表（如有）</w:t>
      </w: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r>
        <w:rPr>
          <w:rFonts w:hint="eastAsia" w:ascii="宋体" w:hAnsi="宋体"/>
          <w:b/>
          <w:bCs/>
          <w:kern w:val="0"/>
          <w:sz w:val="24"/>
        </w:rPr>
        <w:t>格式自拟。</w:t>
      </w:r>
    </w:p>
    <w:p>
      <w:pPr>
        <w:jc w:val="left"/>
        <w:rPr>
          <w:rFonts w:ascii="宋体" w:hAnsi="宋体"/>
          <w:b/>
          <w:bCs/>
          <w:kern w:val="0"/>
          <w:sz w:val="24"/>
        </w:rPr>
      </w:pPr>
    </w:p>
    <w:p>
      <w:pPr>
        <w:jc w:val="left"/>
        <w:rPr>
          <w:rFonts w:ascii="宋体" w:hAnsi="宋体"/>
          <w:b/>
          <w:bCs/>
          <w:kern w:val="0"/>
          <w:sz w:val="24"/>
        </w:rPr>
      </w:pPr>
    </w:p>
    <w:p>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pPr>
        <w:spacing w:line="340" w:lineRule="exact"/>
        <w:ind w:firstLine="480" w:firstLineChars="200"/>
        <w:rPr>
          <w:rFonts w:ascii="宋体" w:hAnsi="宋体" w:cs="华文楷体"/>
          <w:color w:val="000000"/>
          <w:sz w:val="24"/>
          <w:u w:val="single"/>
        </w:rPr>
      </w:pP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pPr>
        <w:spacing w:line="340" w:lineRule="exact"/>
        <w:ind w:firstLine="4560" w:firstLineChars="1900"/>
        <w:rPr>
          <w:rFonts w:ascii="宋体" w:hAnsi="宋体" w:cs="华文楷体"/>
          <w:color w:val="000000"/>
          <w:sz w:val="24"/>
        </w:rPr>
      </w:pPr>
    </w:p>
    <w:p>
      <w:pPr>
        <w:spacing w:line="340" w:lineRule="exact"/>
        <w:ind w:firstLine="480" w:firstLineChars="200"/>
        <w:rPr>
          <w:rFonts w:ascii="宋体" w:hAnsi="宋体" w:cs="华文楷体"/>
          <w:color w:val="000000"/>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pPr>
        <w:jc w:val="left"/>
        <w:rPr>
          <w:rFonts w:ascii="宋体" w:hAnsi="宋体"/>
          <w:b/>
          <w:bCs/>
          <w:kern w:val="0"/>
          <w:sz w:val="24"/>
        </w:rPr>
        <w:sectPr>
          <w:pgSz w:w="11906" w:h="16838"/>
          <w:pgMar w:top="1383" w:right="1080" w:bottom="986" w:left="1080" w:header="851" w:footer="709" w:gutter="0"/>
          <w:cols w:space="720" w:num="1"/>
          <w:docGrid w:linePitch="312" w:charSpace="0"/>
        </w:sectPr>
      </w:pPr>
    </w:p>
    <w:p>
      <w:pPr>
        <w:jc w:val="left"/>
        <w:rPr>
          <w:rFonts w:ascii="宋体" w:hAnsi="宋体"/>
          <w:b/>
          <w:bCs/>
          <w:kern w:val="0"/>
          <w:sz w:val="24"/>
        </w:rPr>
      </w:pPr>
      <w:r>
        <w:rPr>
          <w:rFonts w:hint="eastAsia" w:ascii="宋体" w:hAnsi="宋体"/>
          <w:b/>
          <w:bCs/>
          <w:kern w:val="0"/>
          <w:sz w:val="24"/>
        </w:rPr>
        <w:t>(四)法定代表人授权委托书</w:t>
      </w:r>
      <w:bookmarkEnd w:id="1"/>
      <w:bookmarkEnd w:id="2"/>
      <w:bookmarkEnd w:id="3"/>
      <w:bookmarkEnd w:id="4"/>
      <w:bookmarkEnd w:id="5"/>
      <w:bookmarkEnd w:id="6"/>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7" w:name="_Toc86202638"/>
      <w:r>
        <w:rPr>
          <w:rFonts w:hint="eastAsia" w:ascii="宋体" w:hAnsi="宋体"/>
          <w:b/>
          <w:sz w:val="24"/>
        </w:rPr>
        <w:t>（五）承诺书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（六）无重大违法记录的书面声明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pStyle w:val="24"/>
        <w:ind w:firstLine="560"/>
      </w:pPr>
    </w:p>
    <w:p>
      <w:pPr>
        <w:rPr>
          <w:rFonts w:ascii="宋体" w:hAnsi="宋体" w:cs="宋体"/>
          <w:b/>
          <w:sz w:val="36"/>
          <w:szCs w:val="36"/>
        </w:rPr>
      </w:pPr>
      <w:r>
        <w:rPr>
          <w:rFonts w:hint="eastAsia" w:ascii="宋体" w:hAnsi="宋体"/>
          <w:b/>
          <w:bCs/>
          <w:sz w:val="24"/>
        </w:rPr>
        <w:t>（七）</w:t>
      </w:r>
      <w:r>
        <w:rPr>
          <w:rFonts w:hint="eastAsia" w:ascii="宋体" w:hAnsi="宋体"/>
          <w:b/>
          <w:sz w:val="24"/>
        </w:rPr>
        <w:t>具备履行合同所必需的设备和专业技术能力的书面声明。</w:t>
      </w:r>
    </w:p>
    <w:p>
      <w:pPr>
        <w:ind w:firstLine="480" w:firstLineChars="200"/>
        <w:rPr>
          <w:rFonts w:ascii="宋体" w:hAnsi="宋体" w:cs="宋体"/>
          <w:sz w:val="24"/>
        </w:rPr>
      </w:pPr>
      <w:r>
        <w:rPr>
          <w:rFonts w:hint="eastAsia" w:ascii="宋体" w:hAnsi="宋体" w:cs="宋体"/>
          <w:sz w:val="24"/>
        </w:rPr>
        <w:t>我公司郑重声明：</w:t>
      </w:r>
    </w:p>
    <w:p>
      <w:pPr>
        <w:ind w:firstLine="480" w:firstLineChars="200"/>
        <w:rPr>
          <w:rFonts w:ascii="宋体" w:hAnsi="宋体" w:cs="宋体"/>
          <w:sz w:val="24"/>
        </w:rPr>
      </w:pPr>
      <w:r>
        <w:rPr>
          <w:rFonts w:hint="eastAsia" w:ascii="宋体" w:hAnsi="宋体" w:cs="宋体"/>
          <w:sz w:val="24"/>
        </w:rPr>
        <w:t>我公司具备履行本项合同所必需的设备和专业技术能力，为履行本项合同我公司已具备如下主要设备和主要专业技术能力：</w:t>
      </w:r>
    </w:p>
    <w:p>
      <w:pPr>
        <w:ind w:firstLine="480" w:firstLineChars="200"/>
        <w:rPr>
          <w:rFonts w:ascii="宋体" w:hAnsi="宋体" w:cs="宋体"/>
          <w:sz w:val="24"/>
        </w:rPr>
      </w:pPr>
    </w:p>
    <w:p>
      <w:pPr>
        <w:ind w:firstLine="480" w:firstLineChars="200"/>
        <w:rPr>
          <w:rFonts w:ascii="宋体" w:hAnsi="宋体" w:cs="宋体"/>
          <w:sz w:val="24"/>
          <w:u w:val="single"/>
        </w:rPr>
      </w:pPr>
      <w:r>
        <w:rPr>
          <w:rFonts w:hint="eastAsia" w:ascii="宋体" w:hAnsi="宋体" w:cs="宋体"/>
          <w:sz w:val="24"/>
        </w:rPr>
        <w:t>主要设备有：</w:t>
      </w:r>
      <w:r>
        <w:rPr>
          <w:rFonts w:hint="eastAsia" w:ascii="宋体" w:hAnsi="宋体" w:cs="宋体"/>
          <w:sz w:val="24"/>
          <w:u w:val="single"/>
        </w:rPr>
        <w:t xml:space="preserve">                          </w:t>
      </w:r>
      <w:r>
        <w:rPr>
          <w:rFonts w:hint="eastAsia" w:ascii="宋体" w:hAnsi="宋体" w:cs="宋体"/>
          <w:sz w:val="24"/>
        </w:rPr>
        <w:t>。</w:t>
      </w:r>
    </w:p>
    <w:p>
      <w:pPr>
        <w:ind w:firstLine="480" w:firstLineChars="200"/>
        <w:rPr>
          <w:rFonts w:ascii="宋体" w:hAnsi="宋体" w:cs="宋体"/>
          <w:sz w:val="24"/>
          <w:u w:val="single"/>
        </w:rPr>
      </w:pPr>
    </w:p>
    <w:p>
      <w:pPr>
        <w:ind w:firstLine="480" w:firstLineChars="200"/>
        <w:rPr>
          <w:rFonts w:ascii="宋体" w:hAnsi="宋体" w:cs="宋体"/>
          <w:sz w:val="24"/>
        </w:rPr>
      </w:pPr>
      <w:r>
        <w:rPr>
          <w:rFonts w:hint="eastAsia" w:ascii="宋体" w:hAnsi="宋体" w:cs="宋体"/>
          <w:sz w:val="24"/>
        </w:rPr>
        <w:t>主要专业技术能力有：</w:t>
      </w:r>
      <w:r>
        <w:rPr>
          <w:rFonts w:hint="eastAsia" w:ascii="宋体" w:hAnsi="宋体" w:cs="宋体"/>
          <w:sz w:val="24"/>
          <w:u w:val="single"/>
        </w:rPr>
        <w:t xml:space="preserve">                  </w:t>
      </w:r>
      <w:r>
        <w:rPr>
          <w:rFonts w:hint="eastAsia" w:ascii="宋体" w:hAnsi="宋体" w:cs="宋体"/>
          <w:sz w:val="24"/>
        </w:rPr>
        <w:t>。</w:t>
      </w:r>
    </w:p>
    <w:p>
      <w:pPr>
        <w:ind w:firstLine="480" w:firstLineChars="200"/>
        <w:rPr>
          <w:rFonts w:ascii="宋体" w:hAnsi="宋体" w:cs="宋体"/>
          <w:sz w:val="24"/>
          <w:u w:val="single"/>
        </w:rPr>
      </w:pPr>
    </w:p>
    <w:p>
      <w:pPr>
        <w:jc w:val="right"/>
        <w:rPr>
          <w:rFonts w:ascii="宋体" w:hAnsi="宋体" w:cs="宋体"/>
          <w:sz w:val="24"/>
        </w:rPr>
      </w:pPr>
      <w:r>
        <w:rPr>
          <w:rFonts w:hint="eastAsia" w:ascii="宋体" w:hAnsi="宋体" w:cs="宋体"/>
          <w:sz w:val="24"/>
        </w:rPr>
        <w:t xml:space="preserve"> </w:t>
      </w:r>
    </w:p>
    <w:p>
      <w:pPr>
        <w:jc w:val="right"/>
        <w:rPr>
          <w:rFonts w:ascii="宋体" w:hAnsi="宋体" w:cs="宋体"/>
          <w:sz w:val="24"/>
        </w:rPr>
      </w:pPr>
      <w:r>
        <w:rPr>
          <w:rFonts w:hint="eastAsia" w:ascii="宋体" w:hAnsi="宋体" w:cs="宋体"/>
          <w:sz w:val="24"/>
        </w:rPr>
        <w:t xml:space="preserve">投标人（公章）： </w:t>
      </w:r>
    </w:p>
    <w:p>
      <w:pPr>
        <w:jc w:val="right"/>
        <w:rPr>
          <w:rFonts w:ascii="宋体" w:hAnsi="宋体" w:cs="宋体"/>
          <w:sz w:val="24"/>
        </w:rPr>
      </w:pPr>
      <w:r>
        <w:rPr>
          <w:rFonts w:hint="eastAsia" w:ascii="宋体" w:hAnsi="宋体" w:cs="宋体"/>
          <w:sz w:val="24"/>
        </w:rPr>
        <w:t>日期：______年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left"/>
        <w:rPr>
          <w:rFonts w:ascii="宋体" w:hAnsi="宋体"/>
          <w:sz w:val="24"/>
        </w:rPr>
      </w:pPr>
    </w:p>
    <w:p>
      <w:pPr>
        <w:rPr>
          <w:rFonts w:ascii="宋体" w:hAnsi="宋体"/>
          <w:b/>
          <w:bCs/>
          <w:kern w:val="0"/>
          <w:sz w:val="24"/>
        </w:rPr>
      </w:pPr>
      <w:r>
        <w:rPr>
          <w:rFonts w:hint="eastAsia" w:ascii="宋体" w:hAnsi="宋体"/>
          <w:b/>
          <w:sz w:val="24"/>
        </w:rPr>
        <w:t>（八）</w:t>
      </w:r>
      <w:r>
        <w:rPr>
          <w:rFonts w:hint="eastAsia" w:ascii="宋体" w:hAnsi="宋体"/>
          <w:b/>
          <w:bCs/>
          <w:kern w:val="0"/>
          <w:sz w:val="24"/>
        </w:rPr>
        <w:t>商务与技术条款偏离表</w:t>
      </w:r>
    </w:p>
    <w:p>
      <w:pPr>
        <w:ind w:left="472" w:hanging="472" w:hangingChars="196"/>
        <w:rPr>
          <w:rFonts w:ascii="宋体" w:hAnsi="宋体"/>
          <w:b/>
          <w:sz w:val="24"/>
        </w:rPr>
      </w:pPr>
      <w:r>
        <w:rPr>
          <w:rFonts w:hint="eastAsia" w:ascii="宋体" w:hAnsi="宋体"/>
          <w:b/>
          <w:sz w:val="24"/>
        </w:rPr>
        <w:t xml:space="preserve">  </w:t>
      </w:r>
    </w:p>
    <w:tbl>
      <w:tblPr>
        <w:tblStyle w:val="31"/>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30"/>
        <w:spacing w:after="0"/>
        <w:ind w:firstLine="0" w:firstLineChars="0"/>
        <w:rPr>
          <w:rFonts w:ascii="宋体" w:hAnsi="宋体" w:eastAsia="宋体"/>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投标人：</w:t>
      </w:r>
      <w:r>
        <w:rPr>
          <w:rFonts w:ascii="宋体" w:hAnsi="宋体" w:eastAsia="宋体" w:cs="宋体"/>
          <w:kern w:val="0"/>
          <w:sz w:val="24"/>
          <w:szCs w:val="24"/>
          <w:u w:val="single"/>
        </w:rPr>
        <w:t xml:space="preserve">   </w:t>
      </w:r>
      <w:r>
        <w:rPr>
          <w:rFonts w:ascii="宋体" w:hAnsi="宋体" w:eastAsia="宋体" w:cs="宋体"/>
          <w:spacing w:val="14"/>
          <w:kern w:val="0"/>
          <w:sz w:val="24"/>
          <w:szCs w:val="24"/>
          <w:u w:val="single"/>
        </w:rPr>
        <w:t xml:space="preserve">（单位全称） （盖章）   </w:t>
      </w:r>
      <w:r>
        <w:rPr>
          <w:rFonts w:ascii="宋体" w:hAnsi="宋体" w:eastAsia="宋体" w:cs="宋体"/>
          <w:sz w:val="24"/>
          <w:szCs w:val="24"/>
        </w:rPr>
        <w:t xml:space="preserve"> </w:t>
      </w:r>
    </w:p>
    <w:p>
      <w:pPr>
        <w:pStyle w:val="30"/>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7"/>
    <w:p>
      <w:pPr>
        <w:rPr>
          <w:rFonts w:ascii="宋体" w:hAnsi="宋体"/>
          <w:b/>
          <w:sz w:val="28"/>
          <w:szCs w:val="28"/>
        </w:rPr>
      </w:pPr>
      <w:bookmarkStart w:id="8" w:name="_Toc86202650"/>
    </w:p>
    <w:p>
      <w:pPr>
        <w:rPr>
          <w:rFonts w:ascii="宋体" w:hAnsi="宋体"/>
          <w:b/>
          <w:sz w:val="28"/>
          <w:szCs w:val="28"/>
        </w:rPr>
      </w:pPr>
    </w:p>
    <w:p>
      <w:pPr>
        <w:rPr>
          <w:rFonts w:ascii="宋体" w:hAnsi="宋体"/>
          <w:b/>
          <w:sz w:val="24"/>
        </w:rPr>
      </w:pPr>
      <w:r>
        <w:rPr>
          <w:rFonts w:hint="eastAsia" w:ascii="宋体" w:hAnsi="宋体"/>
          <w:b/>
          <w:sz w:val="24"/>
        </w:rPr>
        <w:t>（九）企业（单位）类似业绩</w:t>
      </w:r>
    </w:p>
    <w:tbl>
      <w:tblPr>
        <w:tblStyle w:val="31"/>
        <w:tblpPr w:leftFromText="180" w:rightFromText="180" w:vertAnchor="text" w:horzAnchor="margin" w:tblpY="203"/>
        <w:tblOverlap w:val="never"/>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5"/>
        <w:gridCol w:w="2088"/>
        <w:gridCol w:w="2088"/>
        <w:gridCol w:w="2088"/>
        <w:gridCol w:w="1558"/>
        <w:gridCol w:w="13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19"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lang w:val="en-US"/>
              </w:rPr>
            </w:pPr>
            <w:r>
              <w:rPr>
                <w:rFonts w:hint="eastAsia"/>
                <w:sz w:val="24"/>
                <w:szCs w:val="24"/>
                <w:lang w:val="en-US"/>
              </w:rPr>
              <w:t>序号</w:t>
            </w:r>
          </w:p>
        </w:tc>
        <w:tc>
          <w:tcPr>
            <w:tcW w:w="1048"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rPr>
            </w:pPr>
            <w:r>
              <w:rPr>
                <w:rFonts w:hint="eastAsia"/>
                <w:sz w:val="24"/>
                <w:szCs w:val="24"/>
                <w:lang w:val="en-US"/>
              </w:rPr>
              <w:t>业主</w:t>
            </w:r>
            <w:r>
              <w:rPr>
                <w:rFonts w:hint="eastAsia"/>
                <w:sz w:val="24"/>
                <w:szCs w:val="24"/>
              </w:rPr>
              <w:t>单位</w:t>
            </w:r>
          </w:p>
        </w:tc>
        <w:tc>
          <w:tcPr>
            <w:tcW w:w="1048"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lang w:val="en-US"/>
              </w:rPr>
            </w:pPr>
            <w:r>
              <w:rPr>
                <w:rFonts w:hint="eastAsia"/>
                <w:sz w:val="24"/>
                <w:szCs w:val="24"/>
                <w:lang w:val="en-US"/>
              </w:rPr>
              <w:t>服务规模</w:t>
            </w:r>
          </w:p>
        </w:tc>
        <w:tc>
          <w:tcPr>
            <w:tcW w:w="1048"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lang w:val="en-US"/>
              </w:rPr>
            </w:pPr>
            <w:r>
              <w:rPr>
                <w:rFonts w:hint="eastAsia"/>
                <w:sz w:val="24"/>
                <w:szCs w:val="24"/>
                <w:lang w:val="en-US"/>
              </w:rPr>
              <w:t>项目中标价</w:t>
            </w:r>
          </w:p>
        </w:tc>
        <w:tc>
          <w:tcPr>
            <w:tcW w:w="782"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rPr>
            </w:pPr>
            <w:r>
              <w:rPr>
                <w:rFonts w:hint="eastAsia"/>
                <w:color w:val="000000"/>
                <w:sz w:val="24"/>
              </w:rPr>
              <w:t>起止时间</w:t>
            </w:r>
          </w:p>
        </w:tc>
        <w:tc>
          <w:tcPr>
            <w:tcW w:w="654" w:type="pct"/>
            <w:tcBorders>
              <w:top w:val="single" w:color="auto" w:sz="4" w:space="0"/>
              <w:left w:val="single" w:color="auto" w:sz="4" w:space="0"/>
              <w:bottom w:val="single" w:color="auto" w:sz="4" w:space="0"/>
              <w:right w:val="single" w:color="auto" w:sz="4" w:space="0"/>
            </w:tcBorders>
            <w:vAlign w:val="center"/>
          </w:tcPr>
          <w:p>
            <w:pPr>
              <w:pStyle w:val="42"/>
              <w:numPr>
                <w:ilvl w:val="0"/>
                <w:numId w:val="0"/>
              </w:num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pacing w:line="360" w:lineRule="auto"/>
        <w:ind w:firstLine="420" w:firstLineChars="200"/>
        <w:rPr>
          <w:rFonts w:ascii="宋体" w:hAnsi="宋体"/>
          <w:szCs w:val="21"/>
        </w:rPr>
      </w:pPr>
      <w:r>
        <w:rPr>
          <w:rFonts w:hint="eastAsia"/>
          <w:szCs w:val="21"/>
        </w:rPr>
        <w:t xml:space="preserve">  注：需提供合同原件备查。</w:t>
      </w: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7"/>
        <w:numPr>
          <w:ilvl w:val="0"/>
          <w:numId w:val="0"/>
        </w:numPr>
        <w:adjustRightInd/>
        <w:spacing w:line="400" w:lineRule="exact"/>
        <w:jc w:val="left"/>
        <w:rPr>
          <w:b/>
          <w:bCs/>
          <w:kern w:val="2"/>
          <w:sz w:val="24"/>
          <w:szCs w:val="24"/>
        </w:rPr>
      </w:pPr>
      <w:r>
        <w:rPr>
          <w:rFonts w:hint="eastAsia"/>
          <w:b/>
          <w:bCs/>
          <w:kern w:val="2"/>
          <w:sz w:val="24"/>
          <w:szCs w:val="24"/>
        </w:rPr>
        <w:t>（十）服务方案（包括但不限于服务内容与流程、提供优质服务实施方案、食品质量监控方案、投诉处理与争议协商等）；</w:t>
      </w:r>
    </w:p>
    <w:p>
      <w:pPr>
        <w:pStyle w:val="37"/>
        <w:numPr>
          <w:ilvl w:val="0"/>
          <w:numId w:val="0"/>
        </w:numPr>
        <w:adjustRightInd/>
        <w:spacing w:line="400" w:lineRule="exact"/>
        <w:jc w:val="left"/>
        <w:rPr>
          <w:b/>
          <w:bCs/>
          <w:kern w:val="2"/>
          <w:sz w:val="24"/>
          <w:szCs w:val="24"/>
        </w:rPr>
      </w:pPr>
      <w:r>
        <w:rPr>
          <w:rFonts w:hint="eastAsia"/>
          <w:b/>
          <w:bCs/>
          <w:kern w:val="2"/>
          <w:sz w:val="24"/>
          <w:szCs w:val="24"/>
        </w:rPr>
        <w:t>（十一）食品卫生安全管理方案（包括但不限于日常管理、应急处置方案、食品安全责任体系等）；</w:t>
      </w:r>
    </w:p>
    <w:p>
      <w:pPr>
        <w:pStyle w:val="37"/>
        <w:numPr>
          <w:ilvl w:val="0"/>
          <w:numId w:val="0"/>
        </w:numPr>
        <w:adjustRightInd/>
        <w:spacing w:line="400" w:lineRule="exact"/>
        <w:jc w:val="left"/>
        <w:rPr>
          <w:b/>
          <w:bCs/>
          <w:kern w:val="2"/>
          <w:sz w:val="24"/>
          <w:szCs w:val="24"/>
        </w:rPr>
      </w:pPr>
      <w:r>
        <w:rPr>
          <w:rFonts w:hint="eastAsia"/>
          <w:b/>
          <w:bCs/>
          <w:kern w:val="2"/>
          <w:sz w:val="24"/>
          <w:szCs w:val="24"/>
        </w:rPr>
        <w:t>（十二）人员配置与保障措施（对拟配置人员情况介绍（包括但不限于厨师认证资格、健康状况、工作经历、有无犯罪记录等）和针对项目开展的人员培训方案）；</w:t>
      </w:r>
    </w:p>
    <w:p>
      <w:pPr>
        <w:pStyle w:val="37"/>
        <w:numPr>
          <w:ilvl w:val="0"/>
          <w:numId w:val="0"/>
        </w:numPr>
        <w:adjustRightInd/>
        <w:spacing w:line="400" w:lineRule="exact"/>
        <w:jc w:val="left"/>
        <w:rPr>
          <w:b/>
          <w:bCs/>
          <w:kern w:val="2"/>
          <w:sz w:val="24"/>
          <w:szCs w:val="24"/>
        </w:rPr>
      </w:pPr>
      <w:r>
        <w:rPr>
          <w:rFonts w:hint="eastAsia"/>
          <w:b/>
          <w:bCs/>
          <w:kern w:val="2"/>
          <w:sz w:val="24"/>
          <w:szCs w:val="24"/>
        </w:rPr>
        <w:t>（十三）特色与创新（提供项目运营特色和创新发展的合理化建议）；</w:t>
      </w:r>
    </w:p>
    <w:p>
      <w:pPr>
        <w:pStyle w:val="30"/>
        <w:spacing w:after="0"/>
        <w:ind w:firstLine="0" w:firstLineChars="0"/>
        <w:rPr>
          <w:rFonts w:ascii="宋体" w:hAnsi="宋体" w:eastAsia="宋体"/>
          <w:sz w:val="24"/>
          <w:szCs w:val="24"/>
          <w:u w:val="single"/>
        </w:rPr>
      </w:pPr>
    </w:p>
    <w:p>
      <w:pPr>
        <w:pStyle w:val="30"/>
        <w:spacing w:after="0"/>
        <w:ind w:firstLine="0" w:firstLineChars="0"/>
        <w:rPr>
          <w:rFonts w:ascii="宋体" w:hAnsi="宋体" w:eastAsia="宋体"/>
          <w:b/>
          <w:sz w:val="24"/>
          <w:szCs w:val="24"/>
        </w:rPr>
      </w:pPr>
      <w:r>
        <w:rPr>
          <w:rFonts w:hint="eastAsia" w:ascii="宋体" w:hAnsi="宋体" w:eastAsia="宋体"/>
          <w:b/>
          <w:sz w:val="24"/>
          <w:szCs w:val="24"/>
        </w:rPr>
        <w:t>（十四）资格审查符合性审查材料索引表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55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550" w:type="dxa"/>
            <w:vAlign w:val="center"/>
          </w:tcPr>
          <w:p>
            <w:pPr>
              <w:jc w:val="center"/>
              <w:rPr>
                <w:rFonts w:ascii="宋体" w:hAnsi="宋体" w:cs="楷体"/>
                <w:b/>
                <w:bCs/>
                <w:sz w:val="24"/>
              </w:rPr>
            </w:pPr>
            <w:r>
              <w:rPr>
                <w:rFonts w:hint="eastAsia" w:ascii="宋体" w:hAnsi="宋体" w:cs="楷体"/>
                <w:b/>
                <w:bCs/>
                <w:sz w:val="24"/>
              </w:rPr>
              <w:t>备注</w:t>
            </w:r>
          </w:p>
        </w:tc>
        <w:tc>
          <w:tcPr>
            <w:tcW w:w="1561"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550" w:type="dxa"/>
            <w:vAlign w:val="center"/>
          </w:tcPr>
          <w:p>
            <w:pPr>
              <w:ind w:firstLine="480" w:firstLineChars="200"/>
              <w:rPr>
                <w:rFonts w:ascii="宋体" w:hAnsi="宋体" w:cs="楷体"/>
                <w:bCs/>
                <w:sz w:val="24"/>
              </w:rPr>
            </w:pPr>
          </w:p>
        </w:tc>
        <w:tc>
          <w:tcPr>
            <w:tcW w:w="1561"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sz w:val="24"/>
              </w:rPr>
              <w:t>营业执照复印件</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550" w:type="dxa"/>
            <w:vAlign w:val="center"/>
          </w:tcPr>
          <w:p>
            <w:pPr>
              <w:ind w:firstLine="480" w:firstLineChars="200"/>
              <w:rPr>
                <w:rFonts w:ascii="宋体" w:hAnsi="宋体" w:cs="楷体"/>
                <w:bCs/>
                <w:sz w:val="24"/>
              </w:rPr>
            </w:pPr>
          </w:p>
        </w:tc>
        <w:tc>
          <w:tcPr>
            <w:tcW w:w="1561"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r>
              <w:rPr>
                <w:rFonts w:hint="eastAsia" w:ascii="宋体" w:hAnsi="宋体" w:cs="楷体"/>
                <w:bCs/>
                <w:sz w:val="24"/>
              </w:rPr>
              <w:t>企业、项目负责人相关证书复印件</w:t>
            </w:r>
          </w:p>
        </w:tc>
        <w:tc>
          <w:tcPr>
            <w:tcW w:w="2550" w:type="dxa"/>
            <w:vAlign w:val="center"/>
          </w:tcPr>
          <w:p>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9</w:t>
            </w:r>
          </w:p>
        </w:tc>
        <w:tc>
          <w:tcPr>
            <w:tcW w:w="4770" w:type="dxa"/>
            <w:vAlign w:val="center"/>
          </w:tcPr>
          <w:p>
            <w:pPr>
              <w:jc w:val="center"/>
              <w:rPr>
                <w:rFonts w:ascii="宋体" w:hAnsi="宋体" w:cs="楷体"/>
                <w:bCs/>
                <w:sz w:val="24"/>
              </w:rPr>
            </w:pPr>
            <w:r>
              <w:rPr>
                <w:rFonts w:hint="eastAsia" w:ascii="宋体" w:hAnsi="宋体" w:cs="楷体"/>
                <w:bCs/>
                <w:sz w:val="24"/>
              </w:rPr>
              <w:t>投标单位为投标代表缴纳社保证明</w:t>
            </w: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p>
        </w:tc>
        <w:tc>
          <w:tcPr>
            <w:tcW w:w="4770" w:type="dxa"/>
            <w:vAlign w:val="center"/>
          </w:tcPr>
          <w:p>
            <w:pPr>
              <w:jc w:val="center"/>
              <w:rPr>
                <w:rFonts w:ascii="宋体" w:hAnsi="宋体" w:cs="楷体"/>
                <w:bCs/>
                <w:sz w:val="24"/>
              </w:rPr>
            </w:pPr>
          </w:p>
        </w:tc>
        <w:tc>
          <w:tcPr>
            <w:tcW w:w="2550" w:type="dxa"/>
            <w:vAlign w:val="center"/>
          </w:tcPr>
          <w:p>
            <w:pPr>
              <w:ind w:firstLine="480" w:firstLineChars="200"/>
              <w:rPr>
                <w:rFonts w:ascii="宋体" w:hAnsi="宋体" w:cs="楷体"/>
                <w:bCs/>
                <w:sz w:val="24"/>
              </w:rPr>
            </w:pPr>
          </w:p>
        </w:tc>
        <w:tc>
          <w:tcPr>
            <w:tcW w:w="1561" w:type="dxa"/>
            <w:vAlign w:val="center"/>
          </w:tcPr>
          <w:p>
            <w:pPr>
              <w:ind w:firstLine="480" w:firstLineChars="200"/>
              <w:rPr>
                <w:rFonts w:ascii="宋体" w:hAnsi="宋体" w:cs="楷体"/>
                <w:bCs/>
                <w:sz w:val="24"/>
              </w:rPr>
            </w:pPr>
          </w:p>
        </w:tc>
      </w:tr>
    </w:tbl>
    <w:p>
      <w:pPr>
        <w:pStyle w:val="30"/>
        <w:spacing w:after="0"/>
        <w:ind w:firstLine="0" w:firstLineChars="0"/>
        <w:rPr>
          <w:rFonts w:ascii="宋体" w:hAnsi="宋体" w:eastAsia="宋体"/>
          <w:sz w:val="24"/>
          <w:szCs w:val="24"/>
        </w:rPr>
      </w:pPr>
    </w:p>
    <w:p>
      <w:pPr>
        <w:pStyle w:val="41"/>
        <w:spacing w:after="0"/>
        <w:ind w:firstLine="0" w:firstLineChars="0"/>
        <w:rPr>
          <w:rFonts w:ascii="宋体" w:hAnsi="宋体" w:eastAsia="宋体"/>
          <w:sz w:val="24"/>
          <w:szCs w:val="24"/>
        </w:rPr>
      </w:pPr>
      <w:r>
        <w:rPr>
          <w:rFonts w:hint="eastAsia" w:ascii="宋体" w:hAnsi="宋体" w:eastAsia="宋体"/>
          <w:sz w:val="24"/>
          <w:szCs w:val="24"/>
        </w:rPr>
        <w:t>注：</w:t>
      </w:r>
    </w:p>
    <w:p>
      <w:pPr>
        <w:pStyle w:val="41"/>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41"/>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30"/>
        <w:spacing w:after="0"/>
        <w:ind w:firstLine="0" w:firstLineChars="0"/>
        <w:rPr>
          <w:rFonts w:ascii="宋体" w:hAnsi="宋体" w:eastAsia="宋体"/>
          <w:sz w:val="24"/>
          <w:szCs w:val="24"/>
        </w:rPr>
      </w:pPr>
    </w:p>
    <w:p>
      <w:pPr>
        <w:pStyle w:val="30"/>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8"/>
    </w:p>
    <w:p>
      <w:pPr>
        <w:pStyle w:val="30"/>
        <w:spacing w:after="0"/>
        <w:ind w:firstLine="0" w:firstLineChars="0"/>
        <w:rPr>
          <w:rFonts w:ascii="宋体" w:hAnsi="宋体" w:eastAsia="宋体"/>
          <w:b/>
          <w:sz w:val="24"/>
          <w:szCs w:val="24"/>
        </w:rPr>
      </w:pPr>
      <w:r>
        <w:rPr>
          <w:rFonts w:ascii="宋体" w:hAnsi="宋体" w:eastAsia="宋体"/>
          <w:b/>
          <w:sz w:val="24"/>
          <w:szCs w:val="24"/>
        </w:rPr>
        <w:br w:type="page"/>
      </w:r>
    </w:p>
    <w:p>
      <w:pPr>
        <w:pStyle w:val="30"/>
        <w:spacing w:after="0"/>
        <w:ind w:firstLine="0" w:firstLineChars="0"/>
        <w:rPr>
          <w:rFonts w:hint="eastAsia" w:ascii="宋体" w:hAnsi="宋体" w:eastAsia="宋体" w:cs="宋体"/>
          <w:b/>
          <w:sz w:val="32"/>
          <w:szCs w:val="32"/>
        </w:rPr>
      </w:pPr>
      <w:r>
        <w:rPr>
          <w:rFonts w:hint="eastAsia" w:ascii="宋体" w:hAnsi="宋体" w:eastAsia="宋体" w:cs="宋体"/>
          <w:b/>
          <w:sz w:val="32"/>
          <w:szCs w:val="32"/>
        </w:rPr>
        <w:t>附件：</w:t>
      </w:r>
    </w:p>
    <w:p>
      <w:pPr>
        <w:widowControl/>
        <w:jc w:val="center"/>
        <w:rPr>
          <w:b/>
          <w:bCs/>
          <w:sz w:val="32"/>
          <w:szCs w:val="32"/>
        </w:rPr>
      </w:pPr>
      <w:r>
        <w:rPr>
          <w:rFonts w:hint="eastAsia"/>
          <w:b/>
          <w:bCs/>
          <w:sz w:val="32"/>
          <w:szCs w:val="32"/>
        </w:rPr>
        <w:t>评分索引表</w:t>
      </w:r>
    </w:p>
    <w:tbl>
      <w:tblPr>
        <w:tblStyle w:val="31"/>
        <w:tblpPr w:leftFromText="180" w:rightFromText="180" w:vertAnchor="text" w:horzAnchor="page" w:tblpXSpec="center" w:tblpY="202"/>
        <w:tblOverlap w:val="never"/>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842"/>
        <w:gridCol w:w="450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037" w:type="pct"/>
            <w:vAlign w:val="center"/>
          </w:tcPr>
          <w:p>
            <w:pPr>
              <w:widowControl/>
              <w:jc w:val="center"/>
              <w:rPr>
                <w:rFonts w:ascii="宋体" w:hAnsi="宋体" w:cs="宋体"/>
                <w:b/>
                <w:bCs w:val="0"/>
                <w:kern w:val="0"/>
                <w:szCs w:val="21"/>
              </w:rPr>
            </w:pPr>
            <w:r>
              <w:rPr>
                <w:rFonts w:hint="eastAsia" w:ascii="宋体" w:hAnsi="宋体" w:cs="宋体"/>
                <w:b/>
                <w:bCs w:val="0"/>
                <w:kern w:val="0"/>
                <w:szCs w:val="21"/>
              </w:rPr>
              <w:t>评分因素</w:t>
            </w:r>
          </w:p>
        </w:tc>
        <w:tc>
          <w:tcPr>
            <w:tcW w:w="434" w:type="pct"/>
            <w:vAlign w:val="center"/>
          </w:tcPr>
          <w:p>
            <w:pPr>
              <w:widowControl/>
              <w:jc w:val="center"/>
              <w:rPr>
                <w:rFonts w:ascii="宋体" w:hAnsi="宋体" w:cs="宋体"/>
                <w:b/>
                <w:bCs w:val="0"/>
                <w:kern w:val="0"/>
                <w:szCs w:val="21"/>
              </w:rPr>
            </w:pPr>
            <w:r>
              <w:rPr>
                <w:rFonts w:hint="eastAsia" w:ascii="宋体" w:hAnsi="宋体" w:cs="宋体"/>
                <w:b/>
                <w:bCs w:val="0"/>
                <w:kern w:val="0"/>
                <w:szCs w:val="21"/>
              </w:rPr>
              <w:t>分值</w:t>
            </w:r>
          </w:p>
        </w:tc>
        <w:tc>
          <w:tcPr>
            <w:tcW w:w="2324" w:type="pct"/>
            <w:vAlign w:val="center"/>
          </w:tcPr>
          <w:p>
            <w:pPr>
              <w:widowControl/>
              <w:jc w:val="center"/>
              <w:rPr>
                <w:rFonts w:ascii="宋体" w:hAnsi="宋体" w:cs="宋体"/>
                <w:b/>
                <w:bCs w:val="0"/>
                <w:kern w:val="0"/>
                <w:szCs w:val="21"/>
              </w:rPr>
            </w:pPr>
            <w:r>
              <w:rPr>
                <w:rFonts w:hint="eastAsia" w:ascii="宋体" w:hAnsi="宋体" w:cs="宋体"/>
                <w:b/>
                <w:bCs w:val="0"/>
                <w:kern w:val="0"/>
                <w:szCs w:val="21"/>
              </w:rPr>
              <w:t>评分标准</w:t>
            </w:r>
          </w:p>
        </w:tc>
        <w:tc>
          <w:tcPr>
            <w:tcW w:w="1203" w:type="pct"/>
            <w:vAlign w:val="center"/>
          </w:tcPr>
          <w:p>
            <w:pPr>
              <w:widowControl/>
              <w:jc w:val="center"/>
              <w:rPr>
                <w:rFonts w:hint="default" w:ascii="宋体" w:hAnsi="宋体" w:eastAsia="宋体" w:cs="宋体"/>
                <w:b/>
                <w:bCs w:val="0"/>
                <w:kern w:val="0"/>
                <w:szCs w:val="21"/>
                <w:lang w:val="en-US" w:eastAsia="zh-CN"/>
              </w:rPr>
            </w:pPr>
            <w:r>
              <w:rPr>
                <w:rFonts w:hint="eastAsia" w:ascii="宋体" w:hAnsi="宋体" w:cs="宋体"/>
                <w:b/>
                <w:bCs w:val="0"/>
                <w:kern w:val="0"/>
                <w:szCs w:val="21"/>
                <w:lang w:val="en-US"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1037" w:type="pct"/>
            <w:vAlign w:val="center"/>
          </w:tcPr>
          <w:p>
            <w:pPr>
              <w:widowControl/>
              <w:jc w:val="center"/>
              <w:rPr>
                <w:bCs/>
                <w:kern w:val="0"/>
                <w:szCs w:val="21"/>
              </w:rPr>
            </w:pPr>
            <w:r>
              <w:rPr>
                <w:rFonts w:hint="eastAsia" w:ascii="宋体" w:hAnsi="宋体" w:cs="宋体"/>
                <w:color w:val="000000"/>
                <w:kern w:val="0"/>
                <w:sz w:val="24"/>
              </w:rPr>
              <w:t>价格</w:t>
            </w:r>
          </w:p>
        </w:tc>
        <w:tc>
          <w:tcPr>
            <w:tcW w:w="434" w:type="pct"/>
            <w:vAlign w:val="center"/>
          </w:tcPr>
          <w:p>
            <w:pPr>
              <w:widowControl/>
              <w:jc w:val="center"/>
              <w:rPr>
                <w:bCs/>
                <w:kern w:val="0"/>
                <w:szCs w:val="21"/>
              </w:rPr>
            </w:pPr>
            <w:r>
              <w:rPr>
                <w:rFonts w:hint="eastAsia" w:ascii="宋体" w:hAnsi="宋体" w:cs="宋体"/>
                <w:color w:val="000000"/>
                <w:kern w:val="0"/>
                <w:sz w:val="24"/>
              </w:rPr>
              <w:t>50分</w:t>
            </w:r>
          </w:p>
        </w:tc>
        <w:tc>
          <w:tcPr>
            <w:tcW w:w="2324" w:type="pct"/>
            <w:vAlign w:val="center"/>
          </w:tcPr>
          <w:p>
            <w:pPr>
              <w:widowControl/>
              <w:spacing w:line="320" w:lineRule="exact"/>
              <w:jc w:val="left"/>
              <w:rPr>
                <w:kern w:val="0"/>
                <w:szCs w:val="21"/>
              </w:rPr>
            </w:pPr>
            <w:r>
              <w:rPr>
                <w:rFonts w:hint="eastAsia" w:ascii="宋体" w:hAnsi="宋体" w:cs="宋体"/>
                <w:sz w:val="24"/>
              </w:rPr>
              <w:t>满足采购文件要求且投标价格最低的投标报价为评标基准价，其价格分为满分。其他投标人的价格分统一按照下列公式计算：投标报价得分=(评标基准价／投标报价)×50</w:t>
            </w:r>
          </w:p>
        </w:tc>
        <w:tc>
          <w:tcPr>
            <w:tcW w:w="1203" w:type="pct"/>
            <w:vAlign w:val="center"/>
          </w:tcPr>
          <w:p>
            <w:pPr>
              <w:widowControl/>
              <w:spacing w:line="32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jc w:val="center"/>
        </w:trPr>
        <w:tc>
          <w:tcPr>
            <w:tcW w:w="1037" w:type="pct"/>
            <w:vAlign w:val="center"/>
          </w:tcPr>
          <w:p>
            <w:pPr>
              <w:widowControl/>
              <w:jc w:val="center"/>
              <w:rPr>
                <w:bCs/>
                <w:kern w:val="0"/>
                <w:szCs w:val="21"/>
              </w:rPr>
            </w:pPr>
            <w:r>
              <w:rPr>
                <w:rFonts w:hint="eastAsia" w:ascii="宋体" w:hAnsi="宋体" w:cs="宋体"/>
                <w:color w:val="000000"/>
                <w:kern w:val="0"/>
                <w:sz w:val="24"/>
              </w:rPr>
              <w:t>业绩</w:t>
            </w:r>
          </w:p>
        </w:tc>
        <w:tc>
          <w:tcPr>
            <w:tcW w:w="434" w:type="pct"/>
            <w:vAlign w:val="center"/>
          </w:tcPr>
          <w:p>
            <w:pPr>
              <w:widowControl/>
              <w:jc w:val="center"/>
              <w:rPr>
                <w:bCs/>
                <w:kern w:val="0"/>
                <w:szCs w:val="21"/>
              </w:rPr>
            </w:pPr>
            <w:r>
              <w:rPr>
                <w:rFonts w:hint="eastAsia" w:ascii="宋体" w:hAnsi="宋体" w:cs="宋体"/>
                <w:color w:val="000000"/>
                <w:kern w:val="0"/>
                <w:sz w:val="24"/>
              </w:rPr>
              <w:t>10分</w:t>
            </w:r>
          </w:p>
        </w:tc>
        <w:tc>
          <w:tcPr>
            <w:tcW w:w="2324" w:type="pct"/>
            <w:vAlign w:val="center"/>
          </w:tcPr>
          <w:p>
            <w:pPr>
              <w:widowControl/>
              <w:spacing w:line="320" w:lineRule="exact"/>
              <w:jc w:val="left"/>
              <w:rPr>
                <w:kern w:val="0"/>
                <w:szCs w:val="21"/>
              </w:rPr>
            </w:pPr>
            <w:r>
              <w:rPr>
                <w:rFonts w:hint="eastAsia" w:ascii="宋体" w:hAnsi="宋体" w:cs="宋体"/>
                <w:color w:val="000000"/>
                <w:kern w:val="0"/>
                <w:sz w:val="24"/>
              </w:rPr>
              <w:t>企业类似项目业绩：投标文件中提供自2022年2月1日以来类似业绩（合同复印件，投标时须提供原件核查后方为有效），每一份得2分。本项最多得10分。</w:t>
            </w:r>
          </w:p>
        </w:tc>
        <w:tc>
          <w:tcPr>
            <w:tcW w:w="1203" w:type="pct"/>
            <w:vAlign w:val="center"/>
          </w:tcPr>
          <w:p>
            <w:pPr>
              <w:widowControl/>
              <w:spacing w:line="320" w:lineRule="exact"/>
              <w:jc w:val="left"/>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1037" w:type="pct"/>
            <w:vAlign w:val="center"/>
          </w:tcPr>
          <w:p>
            <w:pPr>
              <w:widowControl/>
              <w:jc w:val="center"/>
              <w:rPr>
                <w:bCs/>
                <w:kern w:val="0"/>
                <w:szCs w:val="21"/>
              </w:rPr>
            </w:pPr>
            <w:r>
              <w:rPr>
                <w:rFonts w:hint="eastAsia" w:ascii="宋体" w:hAnsi="宋体" w:cs="宋体"/>
                <w:color w:val="000000"/>
                <w:kern w:val="0"/>
                <w:sz w:val="24"/>
              </w:rPr>
              <w:t>服务方案</w:t>
            </w:r>
          </w:p>
        </w:tc>
        <w:tc>
          <w:tcPr>
            <w:tcW w:w="434"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10分</w:t>
            </w:r>
          </w:p>
        </w:tc>
        <w:tc>
          <w:tcPr>
            <w:tcW w:w="2324" w:type="pct"/>
            <w:vAlign w:val="center"/>
          </w:tcPr>
          <w:p>
            <w:pPr>
              <w:spacing w:line="320" w:lineRule="exact"/>
              <w:jc w:val="left"/>
              <w:rPr>
                <w:kern w:val="0"/>
                <w:szCs w:val="21"/>
              </w:rPr>
            </w:pPr>
            <w:r>
              <w:rPr>
                <w:rFonts w:hint="eastAsia" w:ascii="宋体" w:hAnsi="宋体" w:cs="宋体"/>
                <w:color w:val="000000"/>
                <w:kern w:val="0"/>
                <w:sz w:val="24"/>
              </w:rPr>
              <w:t>根据各投标人的服务方案，包括但不限于服务内容与流程、提供优质服务实施方案、食品质量监控方案、投诉处理与争议协商情况按横向对比打分，满分10分，优8-10分，良5-7分，一般5分以下，差不得分。</w:t>
            </w:r>
          </w:p>
        </w:tc>
        <w:tc>
          <w:tcPr>
            <w:tcW w:w="1203" w:type="pct"/>
            <w:vAlign w:val="center"/>
          </w:tcPr>
          <w:p>
            <w:pPr>
              <w:spacing w:line="320" w:lineRule="exact"/>
              <w:jc w:val="left"/>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037"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食品卫生安全管理方案</w:t>
            </w:r>
          </w:p>
        </w:tc>
        <w:tc>
          <w:tcPr>
            <w:tcW w:w="434"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15分</w:t>
            </w:r>
          </w:p>
        </w:tc>
        <w:tc>
          <w:tcPr>
            <w:tcW w:w="2324" w:type="pct"/>
            <w:shd w:val="clear" w:color="auto" w:fill="auto"/>
            <w:vAlign w:val="center"/>
          </w:tcPr>
          <w:p>
            <w:pPr>
              <w:widowControl/>
              <w:spacing w:line="320" w:lineRule="exact"/>
              <w:jc w:val="left"/>
              <w:rPr>
                <w:kern w:val="0"/>
                <w:szCs w:val="21"/>
              </w:rPr>
            </w:pPr>
            <w:r>
              <w:rPr>
                <w:rFonts w:hint="eastAsia" w:ascii="宋体" w:hAnsi="宋体" w:cs="宋体"/>
                <w:color w:val="000000"/>
                <w:kern w:val="0"/>
                <w:sz w:val="24"/>
              </w:rPr>
              <w:t>根据各投标人的</w:t>
            </w:r>
            <w:r>
              <w:rPr>
                <w:rFonts w:hint="eastAsia"/>
                <w:sz w:val="24"/>
              </w:rPr>
              <w:t>食品卫生安全管理方案，</w:t>
            </w:r>
            <w:r>
              <w:rPr>
                <w:rFonts w:hint="eastAsia" w:ascii="宋体" w:hAnsi="宋体" w:cs="宋体"/>
                <w:color w:val="000000"/>
                <w:kern w:val="0"/>
                <w:sz w:val="24"/>
              </w:rPr>
              <w:t>包括但不限于日常管理、应急处置方案、食品安全责任体系情况按横向对比打分，满分15分，优11-15分，良6-10分，一般6分以下，差不得分。</w:t>
            </w:r>
          </w:p>
        </w:tc>
        <w:tc>
          <w:tcPr>
            <w:tcW w:w="1203" w:type="pct"/>
            <w:shd w:val="clear" w:color="auto" w:fill="auto"/>
            <w:vAlign w:val="center"/>
          </w:tcPr>
          <w:p>
            <w:pPr>
              <w:widowControl/>
              <w:spacing w:line="320" w:lineRule="exact"/>
              <w:jc w:val="left"/>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037"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人员配置与保障措施</w:t>
            </w:r>
          </w:p>
        </w:tc>
        <w:tc>
          <w:tcPr>
            <w:tcW w:w="434"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10分</w:t>
            </w:r>
          </w:p>
        </w:tc>
        <w:tc>
          <w:tcPr>
            <w:tcW w:w="2324" w:type="pct"/>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根据各投标人的人员配置与保障措施，包括</w:t>
            </w:r>
            <w:r>
              <w:rPr>
                <w:rFonts w:hint="eastAsia"/>
                <w:sz w:val="24"/>
              </w:rPr>
              <w:t>对拟配置人员情况介绍（包括但不限于厨师认证资格、健康状况、工作经历、有无犯罪记录等）和针对项目开展的人员培训方案</w:t>
            </w:r>
            <w:r>
              <w:rPr>
                <w:rFonts w:hint="eastAsia" w:ascii="宋体" w:hAnsi="宋体" w:cs="宋体"/>
                <w:color w:val="000000"/>
                <w:kern w:val="0"/>
                <w:sz w:val="24"/>
              </w:rPr>
              <w:t>情况按横向对比打分，满分10分，优8-10分，良5-7分，一般5分以下，差不得分。</w:t>
            </w:r>
          </w:p>
        </w:tc>
        <w:tc>
          <w:tcPr>
            <w:tcW w:w="1203" w:type="pct"/>
            <w:shd w:val="clear" w:color="auto" w:fill="auto"/>
            <w:vAlign w:val="center"/>
          </w:tcPr>
          <w:p>
            <w:pPr>
              <w:widowControl/>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037"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特色与创新</w:t>
            </w:r>
          </w:p>
        </w:tc>
        <w:tc>
          <w:tcPr>
            <w:tcW w:w="434"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5分</w:t>
            </w:r>
          </w:p>
        </w:tc>
        <w:tc>
          <w:tcPr>
            <w:tcW w:w="2324" w:type="pct"/>
            <w:shd w:val="clear" w:color="auto" w:fill="auto"/>
            <w:vAlign w:val="center"/>
          </w:tcPr>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根据各投标人拟对本项目实施的特色与创新情况（突出亮点、合理化建议等）酌情打分，满分5分，优4-5分，良2-3分，一般2分以下，差不得分。</w:t>
            </w:r>
          </w:p>
        </w:tc>
        <w:tc>
          <w:tcPr>
            <w:tcW w:w="1203" w:type="pct"/>
            <w:shd w:val="clear" w:color="auto" w:fill="auto"/>
            <w:vAlign w:val="center"/>
          </w:tcPr>
          <w:p>
            <w:pPr>
              <w:widowControl/>
              <w:spacing w:line="320" w:lineRule="exact"/>
              <w:jc w:val="left"/>
              <w:rPr>
                <w:rFonts w:hint="eastAsia" w:ascii="宋体" w:hAnsi="宋体" w:cs="宋体"/>
                <w:color w:val="000000"/>
                <w:kern w:val="0"/>
                <w:sz w:val="24"/>
              </w:rPr>
            </w:pPr>
          </w:p>
        </w:tc>
      </w:tr>
    </w:tbl>
    <w:p>
      <w:pPr>
        <w:rPr>
          <w:rFonts w:ascii="宋体" w:hAnsi="宋体"/>
          <w:b/>
          <w:sz w:val="32"/>
          <w:szCs w:val="32"/>
        </w:rPr>
      </w:pPr>
      <w:r>
        <w:rPr>
          <w:rFonts w:hint="eastAsia" w:ascii="宋体" w:hAnsi="宋体"/>
          <w:b/>
          <w:sz w:val="32"/>
          <w:szCs w:val="32"/>
          <w:highlight w:val="yellow"/>
        </w:rPr>
        <w:t>注：投标人需标明相关材料在投标文件中的对应页码。</w:t>
      </w:r>
    </w:p>
    <w:p>
      <w:pPr>
        <w:pStyle w:val="30"/>
        <w:spacing w:after="0"/>
        <w:ind w:firstLine="0" w:firstLineChars="0"/>
        <w:jc w:val="center"/>
        <w:rPr>
          <w:rFonts w:hint="eastAsia" w:ascii="宋体" w:hAnsi="宋体" w:eastAsia="宋体" w:cs="宋体"/>
          <w:b/>
          <w:sz w:val="32"/>
          <w:szCs w:val="32"/>
        </w:rPr>
      </w:pPr>
    </w:p>
    <w:p>
      <w:pPr>
        <w:pStyle w:val="30"/>
        <w:spacing w:after="0"/>
        <w:ind w:firstLine="0" w:firstLineChars="0"/>
        <w:jc w:val="center"/>
        <w:rPr>
          <w:rFonts w:hint="eastAsia" w:ascii="宋体" w:hAnsi="宋体" w:eastAsia="宋体" w:cs="宋体"/>
          <w:b/>
          <w:sz w:val="32"/>
          <w:szCs w:val="32"/>
        </w:rPr>
      </w:pPr>
    </w:p>
    <w:p>
      <w:pPr>
        <w:pStyle w:val="30"/>
        <w:spacing w:after="0"/>
        <w:ind w:firstLine="0" w:firstLineChars="0"/>
        <w:jc w:val="center"/>
        <w:rPr>
          <w:rFonts w:hint="eastAsia" w:ascii="宋体" w:hAnsi="宋体" w:eastAsia="宋体" w:cs="宋体"/>
          <w:b/>
          <w:sz w:val="32"/>
          <w:szCs w:val="32"/>
        </w:rPr>
      </w:pPr>
    </w:p>
    <w:p>
      <w:pPr>
        <w:pStyle w:val="30"/>
        <w:spacing w:after="0"/>
        <w:ind w:firstLine="0" w:firstLineChars="0"/>
        <w:jc w:val="center"/>
        <w:rPr>
          <w:rFonts w:hint="eastAsia" w:ascii="宋体" w:hAnsi="宋体" w:eastAsia="宋体" w:cs="宋体"/>
          <w:b/>
          <w:sz w:val="32"/>
          <w:szCs w:val="32"/>
        </w:rPr>
      </w:pPr>
    </w:p>
    <w:p>
      <w:pPr>
        <w:pStyle w:val="30"/>
        <w:spacing w:after="0"/>
        <w:ind w:firstLine="0" w:firstLineChars="0"/>
        <w:jc w:val="center"/>
        <w:rPr>
          <w:rFonts w:hint="eastAsia" w:ascii="宋体" w:hAnsi="宋体" w:eastAsia="宋体" w:cs="宋体"/>
          <w:b/>
          <w:sz w:val="32"/>
          <w:szCs w:val="32"/>
        </w:rPr>
      </w:pPr>
    </w:p>
    <w:p>
      <w:pPr>
        <w:pStyle w:val="30"/>
        <w:spacing w:after="0"/>
        <w:ind w:firstLine="0" w:firstLineChars="0"/>
        <w:jc w:val="center"/>
        <w:rPr>
          <w:rFonts w:ascii="宋体" w:hAnsi="宋体" w:eastAsia="宋体" w:cs="宋体"/>
          <w:b/>
          <w:sz w:val="28"/>
          <w:szCs w:val="28"/>
        </w:rPr>
      </w:pPr>
      <w:r>
        <w:rPr>
          <w:rFonts w:hint="eastAsia" w:ascii="宋体" w:hAnsi="宋体" w:eastAsia="宋体" w:cs="宋体"/>
          <w:b/>
          <w:sz w:val="32"/>
          <w:szCs w:val="32"/>
        </w:rPr>
        <w:t>评分细则</w:t>
      </w:r>
    </w:p>
    <w:tbl>
      <w:tblPr>
        <w:tblStyle w:val="31"/>
        <w:tblpPr w:leftFromText="180" w:rightFromText="180" w:vertAnchor="text" w:horzAnchor="page" w:tblpXSpec="center" w:tblpY="202"/>
        <w:tblOverlap w:val="never"/>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898"/>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9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评分因素</w:t>
            </w:r>
          </w:p>
        </w:tc>
        <w:tc>
          <w:tcPr>
            <w:tcW w:w="898"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分值</w:t>
            </w:r>
          </w:p>
        </w:tc>
        <w:tc>
          <w:tcPr>
            <w:tcW w:w="5564"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2395" w:type="dxa"/>
            <w:vAlign w:val="center"/>
          </w:tcPr>
          <w:p>
            <w:pPr>
              <w:widowControl/>
              <w:jc w:val="center"/>
              <w:rPr>
                <w:bCs/>
                <w:kern w:val="0"/>
                <w:szCs w:val="21"/>
              </w:rPr>
            </w:pPr>
            <w:r>
              <w:rPr>
                <w:rFonts w:hint="eastAsia" w:ascii="宋体" w:hAnsi="宋体" w:cs="宋体"/>
                <w:color w:val="000000"/>
                <w:kern w:val="0"/>
                <w:sz w:val="24"/>
              </w:rPr>
              <w:t>价格</w:t>
            </w:r>
          </w:p>
        </w:tc>
        <w:tc>
          <w:tcPr>
            <w:tcW w:w="898" w:type="dxa"/>
            <w:vAlign w:val="center"/>
          </w:tcPr>
          <w:p>
            <w:pPr>
              <w:widowControl/>
              <w:jc w:val="center"/>
              <w:rPr>
                <w:bCs/>
                <w:kern w:val="0"/>
                <w:szCs w:val="21"/>
              </w:rPr>
            </w:pPr>
            <w:r>
              <w:rPr>
                <w:rFonts w:hint="eastAsia" w:ascii="宋体" w:hAnsi="宋体" w:cs="宋体"/>
                <w:color w:val="000000"/>
                <w:kern w:val="0"/>
                <w:sz w:val="24"/>
              </w:rPr>
              <w:t>50分</w:t>
            </w:r>
          </w:p>
        </w:tc>
        <w:tc>
          <w:tcPr>
            <w:tcW w:w="5564" w:type="dxa"/>
            <w:vAlign w:val="center"/>
          </w:tcPr>
          <w:p>
            <w:pPr>
              <w:widowControl/>
              <w:spacing w:line="320" w:lineRule="exact"/>
              <w:jc w:val="left"/>
              <w:rPr>
                <w:kern w:val="0"/>
                <w:szCs w:val="21"/>
              </w:rPr>
            </w:pPr>
            <w:r>
              <w:rPr>
                <w:rFonts w:hint="eastAsia" w:ascii="宋体" w:hAnsi="宋体" w:cs="宋体"/>
                <w:sz w:val="24"/>
              </w:rPr>
              <w:t>满足采购文件要求且投标价格最低的投标报价为评标基准价，其价格分为满分。其他投标人的价格分统一按照下列公式计算：投标报价得分=(评标基准价／投标报价)×50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jc w:val="center"/>
        </w:trPr>
        <w:tc>
          <w:tcPr>
            <w:tcW w:w="2395" w:type="dxa"/>
            <w:vAlign w:val="center"/>
          </w:tcPr>
          <w:p>
            <w:pPr>
              <w:widowControl/>
              <w:jc w:val="center"/>
              <w:rPr>
                <w:bCs/>
                <w:kern w:val="0"/>
                <w:szCs w:val="21"/>
              </w:rPr>
            </w:pPr>
            <w:r>
              <w:rPr>
                <w:rFonts w:hint="eastAsia" w:ascii="宋体" w:hAnsi="宋体" w:cs="宋体"/>
                <w:color w:val="000000"/>
                <w:kern w:val="0"/>
                <w:sz w:val="24"/>
              </w:rPr>
              <w:t>业绩</w:t>
            </w:r>
          </w:p>
        </w:tc>
        <w:tc>
          <w:tcPr>
            <w:tcW w:w="898" w:type="dxa"/>
            <w:vAlign w:val="center"/>
          </w:tcPr>
          <w:p>
            <w:pPr>
              <w:widowControl/>
              <w:jc w:val="center"/>
              <w:rPr>
                <w:bCs/>
                <w:kern w:val="0"/>
                <w:szCs w:val="21"/>
              </w:rPr>
            </w:pPr>
            <w:r>
              <w:rPr>
                <w:rFonts w:hint="eastAsia" w:ascii="宋体" w:hAnsi="宋体" w:cs="宋体"/>
                <w:color w:val="000000"/>
                <w:kern w:val="0"/>
                <w:sz w:val="24"/>
              </w:rPr>
              <w:t>10分</w:t>
            </w:r>
          </w:p>
        </w:tc>
        <w:tc>
          <w:tcPr>
            <w:tcW w:w="5564" w:type="dxa"/>
            <w:vAlign w:val="center"/>
          </w:tcPr>
          <w:p>
            <w:pPr>
              <w:widowControl/>
              <w:spacing w:line="320" w:lineRule="exact"/>
              <w:jc w:val="left"/>
              <w:rPr>
                <w:kern w:val="0"/>
                <w:szCs w:val="21"/>
              </w:rPr>
            </w:pPr>
            <w:r>
              <w:rPr>
                <w:rFonts w:hint="eastAsia" w:ascii="宋体" w:hAnsi="宋体" w:cs="宋体"/>
                <w:color w:val="000000"/>
                <w:kern w:val="0"/>
                <w:sz w:val="24"/>
              </w:rPr>
              <w:t>企业类似项目业绩：投标文件中提供自2022年2月1日以来类似业绩（合同复印件，投标时须提供原件核查后方为有效），每一份得2分。本项最多得10分。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2395" w:type="dxa"/>
            <w:vAlign w:val="center"/>
          </w:tcPr>
          <w:p>
            <w:pPr>
              <w:widowControl/>
              <w:jc w:val="center"/>
              <w:rPr>
                <w:bCs/>
                <w:kern w:val="0"/>
                <w:szCs w:val="21"/>
              </w:rPr>
            </w:pPr>
            <w:r>
              <w:rPr>
                <w:rFonts w:hint="eastAsia" w:ascii="宋体" w:hAnsi="宋体" w:cs="宋体"/>
                <w:color w:val="000000"/>
                <w:kern w:val="0"/>
                <w:sz w:val="24"/>
              </w:rPr>
              <w:t>服务方案</w:t>
            </w:r>
          </w:p>
        </w:tc>
        <w:tc>
          <w:tcPr>
            <w:tcW w:w="89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10分</w:t>
            </w:r>
          </w:p>
        </w:tc>
        <w:tc>
          <w:tcPr>
            <w:tcW w:w="5564" w:type="dxa"/>
            <w:vAlign w:val="center"/>
          </w:tcPr>
          <w:p>
            <w:pPr>
              <w:spacing w:line="320" w:lineRule="exact"/>
              <w:jc w:val="left"/>
              <w:rPr>
                <w:kern w:val="0"/>
                <w:szCs w:val="21"/>
              </w:rPr>
            </w:pPr>
            <w:r>
              <w:rPr>
                <w:rFonts w:hint="eastAsia" w:ascii="宋体" w:hAnsi="宋体" w:cs="宋体"/>
                <w:color w:val="000000"/>
                <w:kern w:val="0"/>
                <w:sz w:val="24"/>
              </w:rPr>
              <w:t>根据各投标人的服务方案，包括但不限于服务内容与流程、提供优质服务实施方案、食品质量监控方案、投诉处理与争议协商情况按横向对比打分，满分10分，优8-10分，良5-7分，一般5分以下，差不得分。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239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食品卫生安全管理方案</w:t>
            </w:r>
          </w:p>
        </w:tc>
        <w:tc>
          <w:tcPr>
            <w:tcW w:w="89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15分</w:t>
            </w:r>
          </w:p>
        </w:tc>
        <w:tc>
          <w:tcPr>
            <w:tcW w:w="5564" w:type="dxa"/>
            <w:shd w:val="clear" w:color="auto" w:fill="auto"/>
            <w:vAlign w:val="center"/>
          </w:tcPr>
          <w:p>
            <w:pPr>
              <w:widowControl/>
              <w:spacing w:line="320" w:lineRule="exact"/>
              <w:jc w:val="left"/>
              <w:rPr>
                <w:kern w:val="0"/>
                <w:szCs w:val="21"/>
              </w:rPr>
            </w:pPr>
            <w:r>
              <w:rPr>
                <w:rFonts w:hint="eastAsia" w:ascii="宋体" w:hAnsi="宋体" w:cs="宋体"/>
                <w:color w:val="000000"/>
                <w:kern w:val="0"/>
                <w:sz w:val="24"/>
              </w:rPr>
              <w:t>根据各投标人的</w:t>
            </w:r>
            <w:r>
              <w:rPr>
                <w:rFonts w:hint="eastAsia"/>
                <w:sz w:val="24"/>
              </w:rPr>
              <w:t>食品卫生安全管理方案，</w:t>
            </w:r>
            <w:r>
              <w:rPr>
                <w:rFonts w:hint="eastAsia" w:ascii="宋体" w:hAnsi="宋体" w:cs="宋体"/>
                <w:color w:val="000000"/>
                <w:kern w:val="0"/>
                <w:sz w:val="24"/>
              </w:rPr>
              <w:t>包括但不限于日常管理、应急处置方案、食品安全责任体系情况按横向对比打分，满分15分，优11-15分，良6-10分，一般6分以下，差不得分。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239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人员配置与保障措施</w:t>
            </w:r>
          </w:p>
        </w:tc>
        <w:tc>
          <w:tcPr>
            <w:tcW w:w="89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10分</w:t>
            </w:r>
          </w:p>
        </w:tc>
        <w:tc>
          <w:tcPr>
            <w:tcW w:w="5564"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根据各投标人的人员配置与保障措施，包括</w:t>
            </w:r>
            <w:r>
              <w:rPr>
                <w:rFonts w:hint="eastAsia"/>
                <w:sz w:val="24"/>
              </w:rPr>
              <w:t>对拟配置人员情况介绍（包括但不限于厨师认证资格、健康状况、工作经历、有无犯罪记录等）和针对项目开展的人员培训方案</w:t>
            </w:r>
            <w:r>
              <w:rPr>
                <w:rFonts w:hint="eastAsia" w:ascii="宋体" w:hAnsi="宋体" w:cs="宋体"/>
                <w:color w:val="000000"/>
                <w:kern w:val="0"/>
                <w:sz w:val="24"/>
              </w:rPr>
              <w:t>情况按横向对比打分，满分10分，优8-10分，良5-7分，一般5分以下，差不得分。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39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特色与创新</w:t>
            </w:r>
          </w:p>
        </w:tc>
        <w:tc>
          <w:tcPr>
            <w:tcW w:w="89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5分</w:t>
            </w:r>
          </w:p>
        </w:tc>
        <w:tc>
          <w:tcPr>
            <w:tcW w:w="5564" w:type="dxa"/>
            <w:shd w:val="clear" w:color="auto" w:fill="auto"/>
            <w:vAlign w:val="center"/>
          </w:tcPr>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根据各投标人拟对本项目实施的特色与创新情况（突出亮点、合理化建议等）酌情打分，满分5分，优4-5分，良2-3分，一般2分以下，差不得分。</w:t>
            </w:r>
          </w:p>
        </w:tc>
      </w:tr>
    </w:tbl>
    <w:p>
      <w:pPr>
        <w:pStyle w:val="37"/>
        <w:numPr>
          <w:ilvl w:val="0"/>
          <w:numId w:val="0"/>
        </w:numPr>
        <w:rPr>
          <w:sz w:val="22"/>
          <w:szCs w:val="28"/>
        </w:rPr>
      </w:pPr>
    </w:p>
    <w:p>
      <w:pPr>
        <w:pStyle w:val="37"/>
        <w:numPr>
          <w:ilvl w:val="0"/>
          <w:numId w:val="0"/>
        </w:numPr>
        <w:rPr>
          <w:sz w:val="22"/>
          <w:szCs w:val="28"/>
        </w:rPr>
      </w:pPr>
      <w:r>
        <w:rPr>
          <w:rFonts w:hint="eastAsia"/>
          <w:sz w:val="22"/>
          <w:szCs w:val="28"/>
        </w:rPr>
        <w:t>注：总分最高者为成交候选人；最高分相同时，价格分高者优先。</w:t>
      </w:r>
    </w:p>
    <w:p>
      <w:bookmarkStart w:id="9" w:name="_GoBack"/>
      <w:bookmarkEnd w:id="9"/>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3"/>
      </w:rPr>
    </w:pPr>
    <w:r>
      <w:fldChar w:fldCharType="begin"/>
    </w:r>
    <w:r>
      <w:rPr>
        <w:rStyle w:val="33"/>
      </w:rPr>
      <w:instrText xml:space="preserve">PAGE  </w:instrText>
    </w:r>
    <w:r>
      <w:fldChar w:fldCharType="separate"/>
    </w:r>
    <w:r>
      <w:rPr>
        <w:rStyle w:val="33"/>
      </w:rPr>
      <w:t>2</w:t>
    </w:r>
    <w:r>
      <w:fldChar w:fldCharType="end"/>
    </w:r>
  </w:p>
  <w:p>
    <w:pPr>
      <w:pStyle w:val="27"/>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7FA87"/>
    <w:multiLevelType w:val="singleLevel"/>
    <w:tmpl w:val="E607FA87"/>
    <w:lvl w:ilvl="0" w:tentative="0">
      <w:start w:val="3"/>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pStyle w:val="17"/>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DC7194"/>
    <w:multiLevelType w:val="multilevel"/>
    <w:tmpl w:val="09DC7194"/>
    <w:lvl w:ilvl="0" w:tentative="0">
      <w:start w:val="1"/>
      <w:numFmt w:val="decimal"/>
      <w:pStyle w:val="3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E5F9DE7"/>
    <w:multiLevelType w:val="singleLevel"/>
    <w:tmpl w:val="1E5F9DE7"/>
    <w:lvl w:ilvl="0" w:tentative="0">
      <w:start w:val="3"/>
      <w:numFmt w:val="chineseCounting"/>
      <w:suff w:val="space"/>
      <w:lvlText w:val="第%1章"/>
      <w:lvlJc w:val="left"/>
      <w:rPr>
        <w:rFonts w:hint="eastAsia"/>
      </w:r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56D6133"/>
    <w:multiLevelType w:val="multilevel"/>
    <w:tmpl w:val="656D6133"/>
    <w:lvl w:ilvl="0" w:tentative="0">
      <w:start w:val="1"/>
      <w:numFmt w:val="chineseCountingThousand"/>
      <w:pStyle w:val="21"/>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1"/>
  </w:num>
  <w:num w:numId="3">
    <w:abstractNumId w:val="2"/>
  </w:num>
  <w:num w:numId="4">
    <w:abstractNumId w:val="3"/>
  </w:num>
  <w:num w:numId="5">
    <w:abstractNumId w:val="4"/>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N2YwYmFmOGE1NWQyZjVmNTRhMDI4OGRhODVlMDQifQ=="/>
    <w:docVar w:name="KSO_WPS_MARK_KEY" w:val="e4eff94c-26d1-4520-a93b-7f8ed072cf04"/>
  </w:docVars>
  <w:rsids>
    <w:rsidRoot w:val="26A40C5B"/>
    <w:rsid w:val="00005587"/>
    <w:rsid w:val="000126FC"/>
    <w:rsid w:val="0007639D"/>
    <w:rsid w:val="000A780A"/>
    <w:rsid w:val="000D2C97"/>
    <w:rsid w:val="000F674C"/>
    <w:rsid w:val="00107105"/>
    <w:rsid w:val="00107D89"/>
    <w:rsid w:val="0013192E"/>
    <w:rsid w:val="001519A2"/>
    <w:rsid w:val="00176D07"/>
    <w:rsid w:val="001D6829"/>
    <w:rsid w:val="001E38BC"/>
    <w:rsid w:val="001F295A"/>
    <w:rsid w:val="0022054A"/>
    <w:rsid w:val="0028540F"/>
    <w:rsid w:val="00285DCF"/>
    <w:rsid w:val="0034027F"/>
    <w:rsid w:val="00387003"/>
    <w:rsid w:val="003A43BC"/>
    <w:rsid w:val="003C62D1"/>
    <w:rsid w:val="003F5921"/>
    <w:rsid w:val="00412623"/>
    <w:rsid w:val="00414008"/>
    <w:rsid w:val="00452577"/>
    <w:rsid w:val="004611D5"/>
    <w:rsid w:val="00485BD6"/>
    <w:rsid w:val="004B01E1"/>
    <w:rsid w:val="004D6E12"/>
    <w:rsid w:val="00511989"/>
    <w:rsid w:val="00520C0F"/>
    <w:rsid w:val="005243C7"/>
    <w:rsid w:val="00526AFA"/>
    <w:rsid w:val="00555BD7"/>
    <w:rsid w:val="005614DA"/>
    <w:rsid w:val="0056163C"/>
    <w:rsid w:val="0056262C"/>
    <w:rsid w:val="00586C81"/>
    <w:rsid w:val="005A2F3C"/>
    <w:rsid w:val="005A7A55"/>
    <w:rsid w:val="005F1D4B"/>
    <w:rsid w:val="005F1EE0"/>
    <w:rsid w:val="00622DC3"/>
    <w:rsid w:val="00626590"/>
    <w:rsid w:val="00647502"/>
    <w:rsid w:val="006B32D9"/>
    <w:rsid w:val="006B5DAC"/>
    <w:rsid w:val="00706645"/>
    <w:rsid w:val="007214B9"/>
    <w:rsid w:val="00816245"/>
    <w:rsid w:val="008E2C95"/>
    <w:rsid w:val="00957723"/>
    <w:rsid w:val="00957C59"/>
    <w:rsid w:val="00965C00"/>
    <w:rsid w:val="00977BC5"/>
    <w:rsid w:val="009A2987"/>
    <w:rsid w:val="009B240E"/>
    <w:rsid w:val="009B7C06"/>
    <w:rsid w:val="009D2A1F"/>
    <w:rsid w:val="009D2CA4"/>
    <w:rsid w:val="009E52DF"/>
    <w:rsid w:val="00A22059"/>
    <w:rsid w:val="00A42C29"/>
    <w:rsid w:val="00A63327"/>
    <w:rsid w:val="00A63A45"/>
    <w:rsid w:val="00AE008C"/>
    <w:rsid w:val="00B20103"/>
    <w:rsid w:val="00B63734"/>
    <w:rsid w:val="00B75D1D"/>
    <w:rsid w:val="00B90D1B"/>
    <w:rsid w:val="00B93168"/>
    <w:rsid w:val="00C4504B"/>
    <w:rsid w:val="00C83D1F"/>
    <w:rsid w:val="00C91944"/>
    <w:rsid w:val="00CF41CB"/>
    <w:rsid w:val="00D0177D"/>
    <w:rsid w:val="00D6058C"/>
    <w:rsid w:val="00D61C5D"/>
    <w:rsid w:val="00DF6199"/>
    <w:rsid w:val="00E1507D"/>
    <w:rsid w:val="00EE4114"/>
    <w:rsid w:val="00FA265E"/>
    <w:rsid w:val="00FC3455"/>
    <w:rsid w:val="00FD1246"/>
    <w:rsid w:val="00FF47B8"/>
    <w:rsid w:val="00FF73C0"/>
    <w:rsid w:val="02E004D0"/>
    <w:rsid w:val="02F758E3"/>
    <w:rsid w:val="03C54999"/>
    <w:rsid w:val="04CB6F62"/>
    <w:rsid w:val="051F66DD"/>
    <w:rsid w:val="05404C1F"/>
    <w:rsid w:val="05561E2E"/>
    <w:rsid w:val="05B80C59"/>
    <w:rsid w:val="062F3DF0"/>
    <w:rsid w:val="06C61106"/>
    <w:rsid w:val="08A3420B"/>
    <w:rsid w:val="09170D36"/>
    <w:rsid w:val="09E2388F"/>
    <w:rsid w:val="0AA575D1"/>
    <w:rsid w:val="0B177917"/>
    <w:rsid w:val="0C8A677F"/>
    <w:rsid w:val="0D053ED6"/>
    <w:rsid w:val="0EFD148A"/>
    <w:rsid w:val="0FAC4C5F"/>
    <w:rsid w:val="10A4227A"/>
    <w:rsid w:val="14353475"/>
    <w:rsid w:val="145460E2"/>
    <w:rsid w:val="15E9030A"/>
    <w:rsid w:val="163254F1"/>
    <w:rsid w:val="195E2592"/>
    <w:rsid w:val="197D0495"/>
    <w:rsid w:val="1A126128"/>
    <w:rsid w:val="1A5F12AA"/>
    <w:rsid w:val="1ADC5C4A"/>
    <w:rsid w:val="1DC02A48"/>
    <w:rsid w:val="1E360515"/>
    <w:rsid w:val="1F9B53A9"/>
    <w:rsid w:val="1FC45101"/>
    <w:rsid w:val="20C7208C"/>
    <w:rsid w:val="20DD6821"/>
    <w:rsid w:val="22E74317"/>
    <w:rsid w:val="25000461"/>
    <w:rsid w:val="26A40C5B"/>
    <w:rsid w:val="28292E99"/>
    <w:rsid w:val="2BC25ADE"/>
    <w:rsid w:val="2C2F414D"/>
    <w:rsid w:val="2C3C4741"/>
    <w:rsid w:val="2CC2018F"/>
    <w:rsid w:val="2D38756E"/>
    <w:rsid w:val="2DF53F49"/>
    <w:rsid w:val="30701462"/>
    <w:rsid w:val="349A03C5"/>
    <w:rsid w:val="350E769E"/>
    <w:rsid w:val="35CF2253"/>
    <w:rsid w:val="372904E3"/>
    <w:rsid w:val="37E961A0"/>
    <w:rsid w:val="3A3C564E"/>
    <w:rsid w:val="3AD77263"/>
    <w:rsid w:val="3B5B534D"/>
    <w:rsid w:val="3CDB1178"/>
    <w:rsid w:val="3EA37E0A"/>
    <w:rsid w:val="3EAA16CC"/>
    <w:rsid w:val="406643A3"/>
    <w:rsid w:val="40FF7D49"/>
    <w:rsid w:val="41F54ABA"/>
    <w:rsid w:val="44F15673"/>
    <w:rsid w:val="458E417D"/>
    <w:rsid w:val="45CA323E"/>
    <w:rsid w:val="46D96D42"/>
    <w:rsid w:val="47633879"/>
    <w:rsid w:val="481F6154"/>
    <w:rsid w:val="4BB61352"/>
    <w:rsid w:val="4C9C77AA"/>
    <w:rsid w:val="4E5F64B0"/>
    <w:rsid w:val="4F285398"/>
    <w:rsid w:val="4F710AFD"/>
    <w:rsid w:val="50FC3A6B"/>
    <w:rsid w:val="524424F9"/>
    <w:rsid w:val="52815EB0"/>
    <w:rsid w:val="530F2B07"/>
    <w:rsid w:val="53B970C0"/>
    <w:rsid w:val="53D54488"/>
    <w:rsid w:val="54CF254E"/>
    <w:rsid w:val="555F1FB9"/>
    <w:rsid w:val="56ED1E33"/>
    <w:rsid w:val="5AE0174F"/>
    <w:rsid w:val="5C2E060F"/>
    <w:rsid w:val="5D211D97"/>
    <w:rsid w:val="60B22AFC"/>
    <w:rsid w:val="62FE0977"/>
    <w:rsid w:val="64E74850"/>
    <w:rsid w:val="662B7800"/>
    <w:rsid w:val="665F74AA"/>
    <w:rsid w:val="66AC17E6"/>
    <w:rsid w:val="678D1BF7"/>
    <w:rsid w:val="67CB3049"/>
    <w:rsid w:val="684C50B5"/>
    <w:rsid w:val="69EF1D2C"/>
    <w:rsid w:val="6A6537F6"/>
    <w:rsid w:val="6A8B7FE6"/>
    <w:rsid w:val="6B2B5629"/>
    <w:rsid w:val="6B520E1F"/>
    <w:rsid w:val="6D6A052F"/>
    <w:rsid w:val="6D772A28"/>
    <w:rsid w:val="6D9240B6"/>
    <w:rsid w:val="6EAB14DE"/>
    <w:rsid w:val="6F6B3A80"/>
    <w:rsid w:val="6FEC20A5"/>
    <w:rsid w:val="70106688"/>
    <w:rsid w:val="707A648F"/>
    <w:rsid w:val="70D50A94"/>
    <w:rsid w:val="7176537F"/>
    <w:rsid w:val="71E85518"/>
    <w:rsid w:val="72477770"/>
    <w:rsid w:val="769C3B3A"/>
    <w:rsid w:val="76C577FD"/>
    <w:rsid w:val="77691CFB"/>
    <w:rsid w:val="77B43362"/>
    <w:rsid w:val="785955B6"/>
    <w:rsid w:val="78947E9C"/>
    <w:rsid w:val="78B14D10"/>
    <w:rsid w:val="7BA94FF8"/>
    <w:rsid w:val="7C2D724E"/>
    <w:rsid w:val="7ED1262C"/>
    <w:rsid w:val="7F48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2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5">
    <w:name w:val="段"/>
    <w:basedOn w:val="6"/>
    <w:next w:val="13"/>
    <w:qFormat/>
    <w:uiPriority w:val="0"/>
    <w:pPr>
      <w:widowControl/>
      <w:autoSpaceDE w:val="0"/>
      <w:autoSpaceDN w:val="0"/>
      <w:ind w:firstLine="200" w:firstLineChars="200"/>
    </w:pPr>
    <w:rPr>
      <w:rFonts w:hint="eastAsia" w:ascii="宋体"/>
      <w:kern w:val="0"/>
      <w:szCs w:val="20"/>
    </w:rPr>
  </w:style>
  <w:style w:type="paragraph" w:customStyle="1" w:styleId="6">
    <w:name w:val="正文11"/>
    <w:next w:val="7"/>
    <w:qFormat/>
    <w:uiPriority w:val="0"/>
    <w:pPr>
      <w:jc w:val="both"/>
    </w:pPr>
    <w:rPr>
      <w:rFonts w:ascii="Times New Roman" w:hAnsi="Times New Roman" w:eastAsia="宋体" w:cs="Times New Roman"/>
      <w:lang w:val="en-US" w:eastAsia="zh-CN" w:bidi="ar-SA"/>
    </w:rPr>
  </w:style>
  <w:style w:type="paragraph" w:customStyle="1" w:styleId="7">
    <w:name w:val="正文首行缩进11"/>
    <w:basedOn w:val="8"/>
    <w:next w:val="10"/>
    <w:qFormat/>
    <w:uiPriority w:val="0"/>
    <w:pPr>
      <w:tabs>
        <w:tab w:val="left" w:pos="420"/>
      </w:tabs>
      <w:spacing w:line="360" w:lineRule="auto"/>
      <w:ind w:firstLine="200"/>
    </w:pPr>
    <w:rPr>
      <w:rFonts w:ascii="仿宋_GB2312" w:hAnsi="Calibri" w:eastAsia="仿宋_GB2312"/>
      <w:sz w:val="30"/>
      <w:szCs w:val="30"/>
    </w:rPr>
  </w:style>
  <w:style w:type="paragraph" w:customStyle="1" w:styleId="8">
    <w:name w:val="正文文本11"/>
    <w:basedOn w:val="9"/>
    <w:next w:val="6"/>
    <w:qFormat/>
    <w:uiPriority w:val="0"/>
    <w:pPr>
      <w:spacing w:after="120"/>
    </w:pPr>
  </w:style>
  <w:style w:type="paragraph" w:customStyle="1" w:styleId="9">
    <w:name w:val="正文112"/>
    <w:next w:val="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
    <w:name w:val="正文首行缩进 211"/>
    <w:basedOn w:val="11"/>
    <w:next w:val="9"/>
    <w:qFormat/>
    <w:uiPriority w:val="0"/>
    <w:pPr>
      <w:ind w:firstLine="420"/>
    </w:pPr>
    <w:rPr>
      <w:sz w:val="24"/>
    </w:rPr>
  </w:style>
  <w:style w:type="paragraph" w:customStyle="1" w:styleId="11">
    <w:name w:val="正文文本缩进11"/>
    <w:basedOn w:val="9"/>
    <w:next w:val="12"/>
    <w:qFormat/>
    <w:uiPriority w:val="0"/>
    <w:pPr>
      <w:ind w:firstLine="538"/>
    </w:pPr>
    <w:rPr>
      <w:sz w:val="28"/>
    </w:rPr>
  </w:style>
  <w:style w:type="paragraph" w:customStyle="1" w:styleId="12">
    <w:name w:val="寄信人地址11"/>
    <w:basedOn w:val="1"/>
    <w:qFormat/>
    <w:uiPriority w:val="0"/>
    <w:rPr>
      <w:rFonts w:ascii="Arial" w:hAnsi="Arial"/>
    </w:rPr>
  </w:style>
  <w:style w:type="paragraph" w:customStyle="1" w:styleId="13">
    <w:name w:val="正文1"/>
    <w:basedOn w:val="14"/>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111"/>
    <w:next w:val="1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5">
    <w:name w:val="正文文本缩进1"/>
    <w:basedOn w:val="6"/>
    <w:next w:val="16"/>
    <w:qFormat/>
    <w:uiPriority w:val="0"/>
    <w:pPr>
      <w:spacing w:after="120"/>
      <w:ind w:left="420"/>
    </w:pPr>
  </w:style>
  <w:style w:type="paragraph" w:customStyle="1" w:styleId="16">
    <w:name w:val="寄信人地址1"/>
    <w:basedOn w:val="6"/>
    <w:qFormat/>
    <w:uiPriority w:val="0"/>
    <w:rPr>
      <w:rFonts w:ascii="Arial" w:hAnsi="Arial"/>
    </w:rPr>
  </w:style>
  <w:style w:type="paragraph" w:customStyle="1" w:styleId="17">
    <w:name w:val="标题 21"/>
    <w:basedOn w:val="18"/>
    <w:next w:val="6"/>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18">
    <w:name w:val="正文12"/>
    <w:next w:val="19"/>
    <w:qFormat/>
    <w:uiPriority w:val="0"/>
    <w:pPr>
      <w:jc w:val="both"/>
    </w:pPr>
    <w:rPr>
      <w:rFonts w:ascii="Calibri" w:hAnsi="Calibri" w:eastAsia="宋体" w:cs="Times New Roman"/>
      <w:sz w:val="21"/>
      <w:szCs w:val="21"/>
      <w:lang w:val="en-US" w:eastAsia="zh-CN" w:bidi="ar-SA"/>
    </w:rPr>
  </w:style>
  <w:style w:type="paragraph" w:customStyle="1" w:styleId="19">
    <w:name w:val="正文文本111"/>
    <w:basedOn w:val="20"/>
    <w:next w:val="18"/>
    <w:qFormat/>
    <w:uiPriority w:val="0"/>
  </w:style>
  <w:style w:type="paragraph" w:customStyle="1" w:styleId="20">
    <w:name w:val="正文1121"/>
    <w:next w:val="19"/>
    <w:qFormat/>
    <w:uiPriority w:val="0"/>
    <w:pPr>
      <w:widowControl w:val="0"/>
      <w:jc w:val="both"/>
    </w:pPr>
    <w:rPr>
      <w:rFonts w:ascii="Calibri" w:hAnsi="Calibri" w:eastAsia="宋体" w:cs="Times New Roman"/>
      <w:sz w:val="21"/>
      <w:szCs w:val="24"/>
      <w:lang w:val="en-US" w:eastAsia="zh-CN" w:bidi="ar-SA"/>
    </w:rPr>
  </w:style>
  <w:style w:type="paragraph" w:styleId="23">
    <w:name w:val="annotation text"/>
    <w:basedOn w:val="1"/>
    <w:link w:val="45"/>
    <w:qFormat/>
    <w:uiPriority w:val="0"/>
    <w:pPr>
      <w:jc w:val="left"/>
    </w:pPr>
  </w:style>
  <w:style w:type="paragraph" w:styleId="24">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25">
    <w:name w:val="index 4"/>
    <w:basedOn w:val="1"/>
    <w:next w:val="1"/>
    <w:qFormat/>
    <w:uiPriority w:val="0"/>
    <w:pPr>
      <w:ind w:left="600" w:leftChars="600"/>
    </w:pPr>
  </w:style>
  <w:style w:type="paragraph" w:styleId="26">
    <w:name w:val="Balloon Text"/>
    <w:basedOn w:val="1"/>
    <w:link w:val="49"/>
    <w:qFormat/>
    <w:uiPriority w:val="0"/>
    <w:rPr>
      <w:sz w:val="18"/>
      <w:szCs w:val="18"/>
    </w:rPr>
  </w:style>
  <w:style w:type="paragraph" w:styleId="27">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28">
    <w:name w:val="Normal (Web)"/>
    <w:basedOn w:val="1"/>
    <w:qFormat/>
    <w:uiPriority w:val="0"/>
    <w:pPr>
      <w:spacing w:beforeAutospacing="1" w:afterAutospacing="1"/>
      <w:jc w:val="left"/>
    </w:pPr>
    <w:rPr>
      <w:kern w:val="0"/>
      <w:sz w:val="24"/>
    </w:rPr>
  </w:style>
  <w:style w:type="paragraph" w:styleId="29">
    <w:name w:val="annotation subject"/>
    <w:basedOn w:val="23"/>
    <w:next w:val="23"/>
    <w:link w:val="46"/>
    <w:qFormat/>
    <w:uiPriority w:val="0"/>
    <w:rPr>
      <w:b/>
      <w:bCs/>
    </w:rPr>
  </w:style>
  <w:style w:type="paragraph" w:styleId="30">
    <w:name w:val="Body Text First Indent"/>
    <w:basedOn w:val="2"/>
    <w:qFormat/>
    <w:uiPriority w:val="0"/>
    <w:pPr>
      <w:ind w:firstLine="420" w:firstLineChars="100"/>
    </w:pPr>
    <w:rPr>
      <w:rFonts w:eastAsia="仿宋_GB2312"/>
      <w:szCs w:val="20"/>
    </w:rPr>
  </w:style>
  <w:style w:type="character" w:styleId="33">
    <w:name w:val="page number"/>
    <w:qFormat/>
    <w:uiPriority w:val="0"/>
  </w:style>
  <w:style w:type="character" w:styleId="34">
    <w:name w:val="annotation reference"/>
    <w:basedOn w:val="32"/>
    <w:qFormat/>
    <w:uiPriority w:val="0"/>
    <w:rPr>
      <w:sz w:val="21"/>
      <w:szCs w:val="21"/>
    </w:rPr>
  </w:style>
  <w:style w:type="paragraph" w:customStyle="1" w:styleId="35">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customStyle="1" w:styleId="36">
    <w:name w:val="样式 标题 1 + 四号 居中 段前: 12 磅 段后: 12 磅 行距: 单倍行距"/>
    <w:basedOn w:val="21"/>
    <w:qFormat/>
    <w:uiPriority w:val="0"/>
    <w:pPr>
      <w:spacing w:before="240" w:after="240" w:line="240" w:lineRule="auto"/>
      <w:jc w:val="center"/>
    </w:pPr>
    <w:rPr>
      <w:sz w:val="28"/>
      <w:szCs w:val="20"/>
    </w:rPr>
  </w:style>
  <w:style w:type="paragraph" w:customStyle="1" w:styleId="37">
    <w:name w:val="样式1"/>
    <w:basedOn w:val="1"/>
    <w:qFormat/>
    <w:uiPriority w:val="0"/>
    <w:pPr>
      <w:numPr>
        <w:ilvl w:val="0"/>
        <w:numId w:val="3"/>
      </w:numPr>
      <w:adjustRightInd w:val="0"/>
    </w:pPr>
    <w:rPr>
      <w:rFonts w:ascii="宋体" w:hAnsi="宋体"/>
      <w:kern w:val="0"/>
      <w:szCs w:val="21"/>
    </w:rPr>
  </w:style>
  <w:style w:type="character" w:customStyle="1" w:styleId="38">
    <w:name w:val="font21"/>
    <w:qFormat/>
    <w:uiPriority w:val="0"/>
    <w:rPr>
      <w:rFonts w:hint="eastAsia" w:ascii="宋体" w:hAnsi="宋体" w:eastAsia="宋体" w:cs="宋体"/>
      <w:b/>
      <w:bCs/>
      <w:color w:val="000000"/>
      <w:sz w:val="24"/>
      <w:szCs w:val="24"/>
      <w:u w:val="single"/>
    </w:rPr>
  </w:style>
  <w:style w:type="character" w:customStyle="1" w:styleId="39">
    <w:name w:val="font31"/>
    <w:qFormat/>
    <w:uiPriority w:val="0"/>
    <w:rPr>
      <w:rFonts w:hint="eastAsia" w:ascii="宋体" w:hAnsi="宋体" w:eastAsia="宋体" w:cs="宋体"/>
      <w:b/>
      <w:bCs/>
      <w:color w:val="000000"/>
      <w:sz w:val="24"/>
      <w:szCs w:val="24"/>
      <w:u w:val="none"/>
    </w:rPr>
  </w:style>
  <w:style w:type="paragraph" w:customStyle="1" w:styleId="40">
    <w:name w:val="样式 宋体 五号 两端对齐 行距: 单倍行距"/>
    <w:basedOn w:val="1"/>
    <w:qFormat/>
    <w:uiPriority w:val="0"/>
    <w:pPr>
      <w:adjustRightInd w:val="0"/>
    </w:pPr>
    <w:rPr>
      <w:rFonts w:ascii="宋体" w:hAnsi="宋体"/>
      <w:kern w:val="0"/>
      <w:szCs w:val="20"/>
    </w:rPr>
  </w:style>
  <w:style w:type="paragraph" w:customStyle="1" w:styleId="41">
    <w:name w:val="_Style 83"/>
    <w:basedOn w:val="2"/>
    <w:next w:val="30"/>
    <w:qFormat/>
    <w:uiPriority w:val="0"/>
    <w:pPr>
      <w:ind w:firstLine="420" w:firstLineChars="100"/>
    </w:pPr>
    <w:rPr>
      <w:rFonts w:eastAsia="仿宋_GB2312"/>
      <w:szCs w:val="20"/>
    </w:rPr>
  </w:style>
  <w:style w:type="paragraph" w:customStyle="1" w:styleId="42">
    <w:name w:val="样式 标题 1 + 宋体 居中 段前: 48 磅 段后: 12 磅 行距: 1.5 倍行距"/>
    <w:basedOn w:val="21"/>
    <w:qFormat/>
    <w:uiPriority w:val="0"/>
    <w:pPr>
      <w:spacing w:before="0" w:after="0" w:line="360" w:lineRule="auto"/>
    </w:pPr>
    <w:rPr>
      <w:rFonts w:ascii="宋体" w:hAnsi="宋体" w:cs="宋体"/>
      <w:kern w:val="2"/>
      <w:szCs w:val="32"/>
      <w:lang w:val="zh-CN"/>
    </w:rPr>
  </w:style>
  <w:style w:type="paragraph" w:customStyle="1" w:styleId="43">
    <w:name w:val="首行缩进"/>
    <w:basedOn w:val="1"/>
    <w:qFormat/>
    <w:uiPriority w:val="0"/>
    <w:pPr>
      <w:widowControl/>
      <w:ind w:firstLine="480" w:firstLineChars="200"/>
      <w:jc w:val="left"/>
    </w:pPr>
    <w:rPr>
      <w:kern w:val="0"/>
      <w:sz w:val="24"/>
      <w:szCs w:val="20"/>
      <w:lang w:val="zh-CN" w:eastAsia="en-US"/>
    </w:rPr>
  </w:style>
  <w:style w:type="paragraph" w:customStyle="1" w:styleId="44">
    <w:name w:val="Table caption|1"/>
    <w:basedOn w:val="1"/>
    <w:qFormat/>
    <w:uiPriority w:val="0"/>
    <w:pPr>
      <w:spacing w:after="180"/>
    </w:pPr>
    <w:rPr>
      <w:rFonts w:ascii="宋体" w:hAnsi="宋体" w:cs="宋体"/>
      <w:sz w:val="22"/>
      <w:szCs w:val="22"/>
      <w:lang w:val="zh-TW" w:eastAsia="zh-TW" w:bidi="zh-TW"/>
    </w:rPr>
  </w:style>
  <w:style w:type="character" w:customStyle="1" w:styleId="45">
    <w:name w:val="批注文字 字符"/>
    <w:basedOn w:val="32"/>
    <w:link w:val="23"/>
    <w:qFormat/>
    <w:uiPriority w:val="0"/>
    <w:rPr>
      <w:kern w:val="2"/>
      <w:sz w:val="21"/>
      <w:szCs w:val="24"/>
    </w:rPr>
  </w:style>
  <w:style w:type="character" w:customStyle="1" w:styleId="46">
    <w:name w:val="批注主题 字符"/>
    <w:basedOn w:val="45"/>
    <w:link w:val="29"/>
    <w:qFormat/>
    <w:uiPriority w:val="0"/>
    <w:rPr>
      <w:b/>
      <w:bCs/>
      <w:kern w:val="2"/>
      <w:sz w:val="21"/>
      <w:szCs w:val="24"/>
    </w:rPr>
  </w:style>
  <w:style w:type="paragraph" w:customStyle="1" w:styleId="47">
    <w:name w:val="Char1"/>
    <w:basedOn w:val="1"/>
    <w:qFormat/>
    <w:uiPriority w:val="0"/>
    <w:pPr>
      <w:tabs>
        <w:tab w:val="left" w:pos="432"/>
      </w:tabs>
      <w:spacing w:before="156" w:beforeLines="50" w:after="156" w:afterLines="50"/>
      <w:ind w:left="432" w:hanging="432"/>
    </w:pPr>
  </w:style>
  <w:style w:type="paragraph" w:styleId="48">
    <w:name w:val="List Paragraph"/>
    <w:basedOn w:val="1"/>
    <w:qFormat/>
    <w:uiPriority w:val="34"/>
    <w:pPr>
      <w:ind w:firstLine="420" w:firstLineChars="200"/>
    </w:pPr>
  </w:style>
  <w:style w:type="character" w:customStyle="1" w:styleId="49">
    <w:name w:val="批注框文本 字符"/>
    <w:basedOn w:val="32"/>
    <w:link w:val="2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14144</Words>
  <Characters>14765</Characters>
  <Lines>108</Lines>
  <Paragraphs>30</Paragraphs>
  <TotalTime>6</TotalTime>
  <ScaleCrop>false</ScaleCrop>
  <LinksUpToDate>false</LinksUpToDate>
  <CharactersWithSpaces>15768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admin</dc:creator>
  <cp:lastModifiedBy>白亮宇</cp:lastModifiedBy>
  <cp:lastPrinted>2024-11-26T04:21:00Z</cp:lastPrinted>
  <dcterms:modified xsi:type="dcterms:W3CDTF">2025-02-03T06:51:21Z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E3D9472EC88946ABBFA4AE63D293363A</vt:lpwstr>
  </property>
  <property fmtid="{D5CDD505-2E9C-101B-9397-08002B2CF9AE}" pid="4" name="KSOTemplateDocerSaveRecord">
    <vt:lpwstr>eyJoZGlkIjoiZWRjMzVkN2QwMzY0MTdkNTFmM2YyODAxOWEwODkwOGYiLCJ1c2VySWQiOiI2MzM4NDc4MzkifQ==</vt:lpwstr>
  </property>
</Properties>
</file>